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9FC24" w14:textId="42CE3DD2" w:rsidR="00343458" w:rsidRPr="00343458" w:rsidRDefault="00343458" w:rsidP="00C07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80"/>
        <w:ind w:left="0" w:firstLine="0"/>
        <w:jc w:val="center"/>
        <w:outlineLvl w:val="0"/>
        <w:rPr>
          <w:rFonts w:ascii="Amnesty Trade Gothic" w:hAnsi="Amnesty Trade Gothic" w:cs="Times New Roman"/>
          <w:b/>
          <w:i/>
          <w:color w:val="FF0000"/>
          <w:sz w:val="24"/>
          <w:szCs w:val="24"/>
          <w:u w:val="single"/>
          <w:lang w:val="fr-FR"/>
        </w:rPr>
      </w:pPr>
      <w:r w:rsidRPr="00343458">
        <w:rPr>
          <w:rFonts w:ascii="Amnesty Trade Gothic" w:hAnsi="Amnesty Trade Gothic" w:cs="Times New Roman"/>
          <w:b/>
          <w:i/>
          <w:color w:val="FF0000"/>
          <w:sz w:val="24"/>
          <w:szCs w:val="24"/>
          <w:u w:val="single"/>
          <w:lang w:val="fr-FR"/>
        </w:rPr>
        <w:t>DOCUMENT NON FORMATÉ</w:t>
      </w:r>
    </w:p>
    <w:p w14:paraId="2A9AC5D3" w14:textId="77777777" w:rsidR="00343458" w:rsidRDefault="00343458" w:rsidP="005A57D4">
      <w:pPr>
        <w:spacing w:before="0" w:after="80"/>
        <w:ind w:left="0" w:firstLine="0"/>
        <w:rPr>
          <w:rFonts w:ascii="Amnesty Trade Gothic" w:hAnsi="Amnesty Trade Gothic" w:cs="Times New Roman"/>
          <w:i/>
          <w:sz w:val="24"/>
          <w:szCs w:val="24"/>
          <w:u w:val="single"/>
          <w:lang w:val="fr-FR"/>
        </w:rPr>
      </w:pPr>
    </w:p>
    <w:p w14:paraId="15DD4161" w14:textId="77777777" w:rsidR="002C272A" w:rsidRPr="00951DF0" w:rsidRDefault="002C272A" w:rsidP="00C07BF5">
      <w:pPr>
        <w:spacing w:before="0" w:after="80"/>
        <w:ind w:left="0" w:firstLine="0"/>
        <w:outlineLvl w:val="0"/>
        <w:rPr>
          <w:rFonts w:ascii="Amnesty Trade Gothic" w:hAnsi="Amnesty Trade Gothic" w:cs="Times New Roman"/>
          <w:i/>
          <w:sz w:val="24"/>
          <w:szCs w:val="24"/>
          <w:u w:val="single"/>
          <w:lang w:val="fr-FR"/>
        </w:rPr>
      </w:pPr>
      <w:r w:rsidRPr="00951DF0">
        <w:rPr>
          <w:rFonts w:ascii="Amnesty Trade Gothic" w:hAnsi="Amnesty Trade Gothic" w:cs="Times New Roman"/>
          <w:i/>
          <w:sz w:val="24"/>
          <w:szCs w:val="24"/>
          <w:u w:val="single"/>
          <w:lang w:val="fr-FR"/>
        </w:rPr>
        <w:t>Observation préliminaire:</w:t>
      </w:r>
    </w:p>
    <w:p w14:paraId="6421EA59" w14:textId="77777777" w:rsidR="002C272A" w:rsidRPr="00951DF0" w:rsidRDefault="002C272A" w:rsidP="005A57D4">
      <w:pPr>
        <w:spacing w:before="0" w:after="80"/>
        <w:ind w:left="0" w:firstLine="0"/>
        <w:rPr>
          <w:rFonts w:ascii="Amnesty Trade Gothic" w:hAnsi="Amnesty Trade Gothic" w:cs="Times New Roman"/>
          <w:i/>
          <w:sz w:val="24"/>
          <w:szCs w:val="24"/>
          <w:u w:val="single"/>
          <w:lang w:val="fr-FR"/>
        </w:rPr>
      </w:pPr>
    </w:p>
    <w:p w14:paraId="0617731C" w14:textId="27060CB8" w:rsidR="006064BD" w:rsidRPr="00951DF0" w:rsidRDefault="002C272A" w:rsidP="005A57D4">
      <w:pPr>
        <w:spacing w:before="0" w:after="80"/>
        <w:ind w:left="0" w:firstLine="0"/>
        <w:rPr>
          <w:rFonts w:ascii="Amnesty Trade Gothic" w:hAnsi="Amnesty Trade Gothic" w:cs="Times New Roman"/>
          <w:i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Ce document est une prise de position type rédigée par le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groupe de travail INDH de la </w:t>
      </w:r>
      <w:r w:rsidR="00C07BF5">
        <w:rPr>
          <w:rFonts w:ascii="Amnesty Trade Gothic" w:hAnsi="Amnesty Trade Gothic" w:cs="Times New Roman"/>
          <w:i/>
          <w:sz w:val="24"/>
          <w:szCs w:val="24"/>
          <w:lang w:val="fr-FR"/>
        </w:rPr>
        <w:t>P</w:t>
      </w: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lateforme droits 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humains des ONG à l’attention des</w:t>
      </w: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 organisations membres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 de la plateforme</w:t>
      </w:r>
      <w:r w:rsidR="00951DF0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.</w:t>
      </w:r>
    </w:p>
    <w:p w14:paraId="5B0311F2" w14:textId="03BF5E30" w:rsidR="006064BD" w:rsidRPr="00951DF0" w:rsidRDefault="002C272A" w:rsidP="005A57D4">
      <w:pPr>
        <w:spacing w:before="0" w:after="80"/>
        <w:ind w:left="0" w:firstLine="0"/>
        <w:rPr>
          <w:rFonts w:ascii="Amnesty Trade Gothic" w:hAnsi="Amnesty Trade Gothic" w:cs="Times New Roman"/>
          <w:i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Chacune de ces organisations est naturellement libre de modifier ce texte à sa guise ou de n’utiliser que certains de ses éléments. 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Les points centraux et les </w:t>
      </w:r>
      <w:r w:rsidR="00C15A51">
        <w:rPr>
          <w:rFonts w:ascii="Amnesty Trade Gothic" w:hAnsi="Amnesty Trade Gothic" w:cs="Times New Roman"/>
          <w:i/>
          <w:sz w:val="24"/>
          <w:szCs w:val="24"/>
          <w:lang w:val="fr-FR"/>
        </w:rPr>
        <w:t>ajouts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 proposés sont marqués en gras. </w:t>
      </w: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Il es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t</w:t>
      </w: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 important que le plus grand n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o</w:t>
      </w: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mbre possible d’organ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i</w:t>
      </w: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sations membres de la </w:t>
      </w:r>
      <w:r w:rsidR="00C07BF5">
        <w:rPr>
          <w:rFonts w:ascii="Amnesty Trade Gothic" w:hAnsi="Amnesty Trade Gothic" w:cs="Times New Roman"/>
          <w:i/>
          <w:sz w:val="24"/>
          <w:szCs w:val="24"/>
          <w:lang w:val="fr-FR"/>
        </w:rPr>
        <w:t>P</w:t>
      </w: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lateforme participe</w:t>
      </w:r>
      <w:r w:rsidR="00C07BF5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 à</w:t>
      </w:r>
      <w:r w:rsidR="001F01CE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cet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te procédure de consultation de manière à ce que la position des ONG soit diffusée le plus largement possible.</w:t>
      </w:r>
    </w:p>
    <w:p w14:paraId="033A9F51" w14:textId="1E3E5694" w:rsidR="006064BD" w:rsidRPr="00951DF0" w:rsidRDefault="00C15A51" w:rsidP="005A57D4">
      <w:pPr>
        <w:spacing w:before="0" w:after="80"/>
        <w:ind w:left="0" w:firstLine="0"/>
        <w:rPr>
          <w:rFonts w:ascii="Amnesty Trade Gothic" w:hAnsi="Amnesty Trade Gothic" w:cs="Times New Roman"/>
          <w:i/>
          <w:sz w:val="24"/>
          <w:szCs w:val="24"/>
          <w:lang w:val="fr-FR"/>
        </w:rPr>
      </w:pPr>
      <w:r w:rsidRPr="00C15A51">
        <w:rPr>
          <w:rFonts w:ascii="Amnesty Trade Gothic" w:hAnsi="Amnesty Trade Gothic" w:cs="Times New Roman"/>
          <w:b/>
          <w:i/>
          <w:sz w:val="24"/>
          <w:szCs w:val="24"/>
          <w:lang w:val="fr-FR"/>
        </w:rPr>
        <w:t>ATTENTION</w:t>
      </w:r>
      <w:r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 : 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La première phrase du document n’est utilisable que pour les organisations qui ont effectivement été invitées à prendre position (cf</w:t>
      </w:r>
      <w:proofErr w:type="gramStart"/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. </w:t>
      </w:r>
      <w:proofErr w:type="gramEnd"/>
      <w:r w:rsidR="00E84A77">
        <w:fldChar w:fldCharType="begin"/>
      </w:r>
      <w:r w:rsidR="00E84A77" w:rsidRPr="00E84A77">
        <w:rPr>
          <w:lang w:val="fr-FR"/>
        </w:rPr>
        <w:instrText xml:space="preserve"> HYPERLINK "https://www.admin.ch/ch/d/gg/pc/documents/2883/Adressaten_destinataires_destinatari.pdf" </w:instrText>
      </w:r>
      <w:r w:rsidR="00E84A77">
        <w:fldChar w:fldCharType="separate"/>
      </w:r>
      <w:r w:rsidR="00E84A77" w:rsidRPr="00951DF0">
        <w:rPr>
          <w:rStyle w:val="Hyperlink"/>
          <w:rFonts w:ascii="Amnesty Trade Gothic" w:hAnsi="Amnesty Trade Gothic" w:cs="Times New Roman"/>
          <w:i/>
          <w:sz w:val="24"/>
          <w:szCs w:val="24"/>
          <w:lang w:val="fr-FR"/>
        </w:rPr>
        <w:t>liste des organisations consultées</w:t>
      </w:r>
      <w:r w:rsidR="00E84A77">
        <w:rPr>
          <w:rStyle w:val="Hyperlink"/>
          <w:rFonts w:ascii="Amnesty Trade Gothic" w:hAnsi="Amnesty Trade Gothic" w:cs="Times New Roman"/>
          <w:i/>
          <w:sz w:val="24"/>
          <w:szCs w:val="24"/>
          <w:lang w:val="fr-FR"/>
        </w:rPr>
        <w:fldChar w:fldCharType="end"/>
      </w:r>
      <w:r w:rsidR="00E84A77" w:rsidRPr="00E84A77">
        <w:rPr>
          <w:rStyle w:val="Hyperlink"/>
          <w:rFonts w:ascii="Amnesty Trade Gothic" w:hAnsi="Amnesty Trade Gothic" w:cs="Times New Roman"/>
          <w:i/>
          <w:color w:val="auto"/>
          <w:sz w:val="24"/>
          <w:szCs w:val="24"/>
          <w:u w:val="none"/>
          <w:lang w:val="fr-FR"/>
        </w:rPr>
        <w:t xml:space="preserve">) 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Les autres ONG utiliseron</w:t>
      </w:r>
      <w:r w:rsidR="00C07BF5">
        <w:rPr>
          <w:rFonts w:ascii="Amnesty Trade Gothic" w:hAnsi="Amnesty Trade Gothic" w:cs="Times New Roman"/>
          <w:i/>
          <w:sz w:val="24"/>
          <w:szCs w:val="24"/>
          <w:lang w:val="fr-FR"/>
        </w:rPr>
        <w:t>t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 une autre formule, p.ex. : « Nous nous permettons de prendre position sur l’avant-projet de loi fédérale sur le soutien à l’</w:t>
      </w:r>
      <w:r w:rsidR="00C07BF5">
        <w:rPr>
          <w:rFonts w:ascii="Amnesty Trade Gothic" w:hAnsi="Amnesty Trade Gothic" w:cs="Times New Roman"/>
          <w:i/>
          <w:sz w:val="24"/>
          <w:szCs w:val="24"/>
          <w:lang w:val="fr-FR"/>
        </w:rPr>
        <w:t>I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nstitution nationale des droits de l’hom</w:t>
      </w:r>
      <w:bookmarkStart w:id="0" w:name="_GoBack"/>
      <w:bookmarkEnd w:id="0"/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me (LIDH) de </w:t>
      </w:r>
      <w:r w:rsidR="001E0482">
        <w:rPr>
          <w:rFonts w:ascii="Amnesty Trade Gothic" w:hAnsi="Amnesty Trade Gothic" w:cs="Times New Roman"/>
          <w:i/>
          <w:sz w:val="24"/>
          <w:szCs w:val="24"/>
          <w:lang w:val="fr-FR"/>
        </w:rPr>
        <w:t>l</w:t>
      </w:r>
      <w:r w:rsidR="006064BD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a manière suivante : »</w:t>
      </w:r>
    </w:p>
    <w:p w14:paraId="1EF00131" w14:textId="77777777" w:rsidR="001D0876" w:rsidRPr="00951DF0" w:rsidRDefault="001D0876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</w:p>
    <w:p w14:paraId="171A8A26" w14:textId="7032A2C7" w:rsidR="008F2AD6" w:rsidRPr="00951DF0" w:rsidRDefault="008F2AD6" w:rsidP="00C07BF5">
      <w:pPr>
        <w:spacing w:before="0" w:after="80"/>
        <w:ind w:left="0" w:firstLine="0"/>
        <w:outlineLvl w:val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Département fédéral de justice et police</w:t>
      </w:r>
    </w:p>
    <w:p w14:paraId="57E04330" w14:textId="77777777" w:rsidR="00424522" w:rsidRPr="00951DF0" w:rsidRDefault="00424522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Office fédéral de la justice</w:t>
      </w:r>
    </w:p>
    <w:p w14:paraId="7F25115D" w14:textId="517E71C9" w:rsidR="00424522" w:rsidRPr="00951DF0" w:rsidRDefault="00424522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Domaine protection internationale des droits de l’homme</w:t>
      </w:r>
    </w:p>
    <w:p w14:paraId="5392EDDD" w14:textId="77777777" w:rsidR="00424522" w:rsidRPr="00343458" w:rsidRDefault="00424522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de-DE"/>
        </w:rPr>
      </w:pPr>
      <w:r w:rsidRPr="00343458">
        <w:rPr>
          <w:rFonts w:ascii="Amnesty Trade Gothic" w:hAnsi="Amnesty Trade Gothic" w:cs="Times New Roman"/>
          <w:sz w:val="24"/>
          <w:szCs w:val="24"/>
          <w:lang w:val="de-DE"/>
        </w:rPr>
        <w:t xml:space="preserve">Madame Cordelia </w:t>
      </w:r>
      <w:proofErr w:type="spellStart"/>
      <w:r w:rsidRPr="00343458">
        <w:rPr>
          <w:rFonts w:ascii="Amnesty Trade Gothic" w:hAnsi="Amnesty Trade Gothic" w:cs="Times New Roman"/>
          <w:sz w:val="24"/>
          <w:szCs w:val="24"/>
          <w:lang w:val="de-DE"/>
        </w:rPr>
        <w:t>Ehrich</w:t>
      </w:r>
      <w:proofErr w:type="spellEnd"/>
    </w:p>
    <w:p w14:paraId="39C9D4B3" w14:textId="77777777" w:rsidR="00424522" w:rsidRPr="00343458" w:rsidRDefault="00424522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de-DE"/>
        </w:rPr>
      </w:pPr>
      <w:r w:rsidRPr="00343458">
        <w:rPr>
          <w:rFonts w:ascii="Amnesty Trade Gothic" w:hAnsi="Amnesty Trade Gothic" w:cs="Times New Roman"/>
          <w:sz w:val="24"/>
          <w:szCs w:val="24"/>
          <w:lang w:val="de-DE"/>
        </w:rPr>
        <w:t>Bundesrain 20</w:t>
      </w:r>
    </w:p>
    <w:p w14:paraId="786A7204" w14:textId="11AEA873" w:rsidR="000F7351" w:rsidRPr="00343458" w:rsidRDefault="00424522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de-DE"/>
        </w:rPr>
      </w:pPr>
      <w:r w:rsidRPr="00343458">
        <w:rPr>
          <w:rFonts w:ascii="Amnesty Trade Gothic" w:hAnsi="Amnesty Trade Gothic" w:cs="Times New Roman"/>
          <w:sz w:val="24"/>
          <w:szCs w:val="24"/>
          <w:lang w:val="de-DE"/>
        </w:rPr>
        <w:t xml:space="preserve">3003 </w:t>
      </w:r>
      <w:proofErr w:type="spellStart"/>
      <w:r w:rsidRPr="00343458">
        <w:rPr>
          <w:rFonts w:ascii="Amnesty Trade Gothic" w:hAnsi="Amnesty Trade Gothic" w:cs="Times New Roman"/>
          <w:sz w:val="24"/>
          <w:szCs w:val="24"/>
          <w:lang w:val="de-DE"/>
        </w:rPr>
        <w:t>Berne</w:t>
      </w:r>
      <w:proofErr w:type="spellEnd"/>
    </w:p>
    <w:p w14:paraId="65BF6C40" w14:textId="77777777" w:rsidR="003C625D" w:rsidRPr="00343458" w:rsidRDefault="003C625D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de-DE"/>
        </w:rPr>
      </w:pPr>
    </w:p>
    <w:p w14:paraId="26A4ECA8" w14:textId="06414011" w:rsidR="00265FC6" w:rsidRPr="00343458" w:rsidRDefault="00951DF0" w:rsidP="00C07BF5">
      <w:pPr>
        <w:spacing w:before="0" w:after="80"/>
        <w:ind w:left="0" w:firstLine="0"/>
        <w:outlineLvl w:val="0"/>
        <w:rPr>
          <w:rFonts w:ascii="Amnesty Trade Gothic" w:hAnsi="Amnesty Trade Gothic" w:cs="Times New Roman"/>
          <w:sz w:val="24"/>
          <w:szCs w:val="24"/>
          <w:lang w:val="de-DE"/>
        </w:rPr>
      </w:pPr>
      <w:proofErr w:type="spellStart"/>
      <w:r w:rsidRPr="00343458">
        <w:rPr>
          <w:rFonts w:ascii="Amnesty Trade Gothic" w:hAnsi="Amnesty Trade Gothic" w:cs="Times New Roman"/>
          <w:sz w:val="24"/>
          <w:szCs w:val="24"/>
          <w:lang w:val="de-DE"/>
        </w:rPr>
        <w:t>Berne</w:t>
      </w:r>
      <w:proofErr w:type="spellEnd"/>
      <w:r w:rsidRPr="00343458">
        <w:rPr>
          <w:rFonts w:ascii="Amnesty Trade Gothic" w:hAnsi="Amnesty Trade Gothic" w:cs="Times New Roman"/>
          <w:sz w:val="24"/>
          <w:szCs w:val="24"/>
          <w:lang w:val="de-DE"/>
        </w:rPr>
        <w:t>,</w:t>
      </w:r>
      <w:r w:rsidR="00AD5E79" w:rsidRPr="00343458">
        <w:rPr>
          <w:rFonts w:ascii="Amnesty Trade Gothic" w:hAnsi="Amnesty Trade Gothic" w:cs="Times New Roman"/>
          <w:sz w:val="24"/>
          <w:szCs w:val="24"/>
          <w:lang w:val="de-DE"/>
        </w:rPr>
        <w:t xml:space="preserve"> le</w:t>
      </w:r>
      <w:r w:rsidR="001F01CE">
        <w:rPr>
          <w:rFonts w:ascii="Amnesty Trade Gothic" w:hAnsi="Amnesty Trade Gothic" w:cs="Times New Roman"/>
          <w:sz w:val="24"/>
          <w:szCs w:val="24"/>
          <w:lang w:val="de-DE"/>
        </w:rPr>
        <w:t xml:space="preserve"> </w:t>
      </w:r>
      <w:r w:rsidR="00265FC6" w:rsidRPr="00343458">
        <w:rPr>
          <w:rFonts w:ascii="Amnesty Trade Gothic" w:hAnsi="Amnesty Trade Gothic" w:cs="Times New Roman"/>
          <w:sz w:val="24"/>
          <w:szCs w:val="24"/>
          <w:lang w:val="de-DE"/>
        </w:rPr>
        <w:t>XXXX 2017</w:t>
      </w:r>
    </w:p>
    <w:p w14:paraId="7BA8C4D7" w14:textId="77777777" w:rsidR="003C625D" w:rsidRPr="00343458" w:rsidRDefault="003C625D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de-DE"/>
        </w:rPr>
      </w:pPr>
    </w:p>
    <w:p w14:paraId="20179D69" w14:textId="53A59EC1" w:rsidR="00AD5E79" w:rsidRDefault="00AD5E79" w:rsidP="005A57D4">
      <w:pPr>
        <w:spacing w:before="0" w:after="80"/>
        <w:ind w:left="0" w:firstLine="0"/>
        <w:rPr>
          <w:rFonts w:ascii="Amnesty Trade Gothic" w:hAnsi="Amnesty Trade Gothic" w:cs="Times New Roman"/>
          <w:b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Prise de position sur l’av</w:t>
      </w:r>
      <w:r w:rsidR="008F2AD6"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a</w:t>
      </w: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nt</w:t>
      </w:r>
      <w:r w:rsidR="00025CF0"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-</w:t>
      </w: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projet de loi fédérale sur le soutien à l’</w:t>
      </w:r>
      <w:r w:rsidR="008F2AD6"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i</w:t>
      </w: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nstitution n</w:t>
      </w:r>
      <w:r w:rsidR="008F2AD6"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ationale des droits de l’Homme (L</w:t>
      </w: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IDH</w:t>
      </w:r>
      <w:r w:rsidR="008F2AD6"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)</w:t>
      </w:r>
    </w:p>
    <w:p w14:paraId="14945409" w14:textId="77777777" w:rsidR="003C625D" w:rsidRPr="00951DF0" w:rsidRDefault="003C625D" w:rsidP="005A57D4">
      <w:pPr>
        <w:spacing w:before="0" w:after="80"/>
        <w:ind w:left="0" w:firstLine="0"/>
        <w:rPr>
          <w:rFonts w:ascii="Amnesty Trade Gothic" w:hAnsi="Amnesty Trade Gothic" w:cs="Times New Roman"/>
          <w:b/>
          <w:sz w:val="24"/>
          <w:szCs w:val="24"/>
          <w:lang w:val="fr-FR"/>
        </w:rPr>
      </w:pPr>
    </w:p>
    <w:p w14:paraId="27A29C93" w14:textId="73451283" w:rsidR="00AD5E79" w:rsidRPr="00951DF0" w:rsidRDefault="00424522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Mesdames,</w:t>
      </w:r>
      <w:r w:rsidR="00AD5E79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Messieurs,</w:t>
      </w:r>
    </w:p>
    <w:p w14:paraId="245D7B43" w14:textId="50750E55" w:rsidR="00AD5E79" w:rsidRDefault="00424522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Nous v</w:t>
      </w:r>
      <w:r w:rsidR="008F2AD6" w:rsidRPr="00951DF0">
        <w:rPr>
          <w:rFonts w:ascii="Amnesty Trade Gothic" w:hAnsi="Amnesty Trade Gothic" w:cs="Times New Roman"/>
          <w:sz w:val="24"/>
          <w:szCs w:val="24"/>
          <w:lang w:val="fr-FR"/>
        </w:rPr>
        <w:t>o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us remercions </w:t>
      </w:r>
      <w:r w:rsidR="00AD5E79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de l’occasion qui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nous est fournie</w:t>
      </w:r>
      <w:r w:rsidR="00AD5E79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de prendre position sur l’avant projet de l</w:t>
      </w:r>
      <w:r w:rsidR="00531306" w:rsidRPr="00951DF0">
        <w:rPr>
          <w:rFonts w:ascii="Amnesty Trade Gothic" w:hAnsi="Amnesty Trade Gothic" w:cs="Times New Roman"/>
          <w:sz w:val="24"/>
          <w:szCs w:val="24"/>
          <w:lang w:val="fr-FR"/>
        </w:rPr>
        <w:t>oi fédérale sur le soutien à l’I</w:t>
      </w:r>
      <w:r w:rsidR="00AD5E79" w:rsidRPr="00951DF0">
        <w:rPr>
          <w:rFonts w:ascii="Amnesty Trade Gothic" w:hAnsi="Amnesty Trade Gothic" w:cs="Times New Roman"/>
          <w:sz w:val="24"/>
          <w:szCs w:val="24"/>
          <w:lang w:val="fr-FR"/>
        </w:rPr>
        <w:t>nstitution nationale des droits de l’homme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du X juillet 2017</w:t>
      </w:r>
      <w:r w:rsidR="00531306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. </w:t>
      </w:r>
    </w:p>
    <w:p w14:paraId="6C7EF956" w14:textId="77777777" w:rsidR="003C625D" w:rsidRPr="00951DF0" w:rsidRDefault="003C625D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</w:p>
    <w:p w14:paraId="73ACCD4F" w14:textId="482E8EF7" w:rsidR="00424522" w:rsidRPr="00951DF0" w:rsidRDefault="00025CF0" w:rsidP="005A57D4">
      <w:pPr>
        <w:pStyle w:val="Listenabsatz"/>
        <w:numPr>
          <w:ilvl w:val="0"/>
          <w:numId w:val="2"/>
        </w:numPr>
        <w:spacing w:before="0" w:after="80"/>
        <w:contextualSpacing w:val="0"/>
        <w:rPr>
          <w:rFonts w:ascii="Amnesty Trade Gothic" w:hAnsi="Amnesty Trade Gothic" w:cs="Times New Roman"/>
          <w:b/>
          <w:smallCaps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b/>
          <w:smallCaps/>
          <w:sz w:val="24"/>
          <w:szCs w:val="24"/>
          <w:lang w:val="fr-FR"/>
        </w:rPr>
        <w:t>Généralités</w:t>
      </w:r>
    </w:p>
    <w:p w14:paraId="29CDF2CC" w14:textId="47B0773C" w:rsidR="00AD684F" w:rsidRPr="00951DF0" w:rsidRDefault="00424522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En tant qu’organisation engagée </w:t>
      </w:r>
      <w:r w:rsidR="00025CF0" w:rsidRPr="00951DF0">
        <w:rPr>
          <w:rFonts w:ascii="Amnesty Trade Gothic" w:hAnsi="Amnesty Trade Gothic" w:cs="Times New Roman"/>
          <w:sz w:val="24"/>
          <w:szCs w:val="24"/>
          <w:lang w:val="fr-FR"/>
        </w:rPr>
        <w:t>dans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la </w:t>
      </w:r>
      <w:r w:rsidR="00025CF0" w:rsidRPr="00951DF0">
        <w:rPr>
          <w:rFonts w:ascii="Amnesty Trade Gothic" w:hAnsi="Amnesty Trade Gothic" w:cs="Times New Roman"/>
          <w:sz w:val="24"/>
          <w:szCs w:val="24"/>
          <w:lang w:val="fr-FR"/>
        </w:rPr>
        <w:t>reconnaissance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et la mise en </w:t>
      </w:r>
      <w:r w:rsidR="00025CF0" w:rsidRPr="00951DF0">
        <w:rPr>
          <w:rFonts w:ascii="Amnesty Trade Gothic" w:hAnsi="Amnesty Trade Gothic" w:cs="Times New Roman"/>
          <w:sz w:val="24"/>
          <w:szCs w:val="24"/>
          <w:lang w:val="fr-FR"/>
        </w:rPr>
        <w:t>œuvre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des droits humains en Suisse, nous 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nous réjouissons de</w:t>
      </w:r>
      <w:r w:rsidR="00025CF0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la décision du Conseil fédéral du 29 juin 2016 de créer une Institution nationale des droits humains (INDH)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en Suisse. Nous saluons dan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 xml:space="preserve">s son principe l’avant-projet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de loi fédérale sur le soutien à l’</w:t>
      </w:r>
      <w:r w:rsidR="00025CF0" w:rsidRPr="00951DF0">
        <w:rPr>
          <w:rFonts w:ascii="Amnesty Trade Gothic" w:hAnsi="Amnesty Trade Gothic" w:cs="Times New Roman"/>
          <w:sz w:val="24"/>
          <w:szCs w:val="24"/>
          <w:lang w:val="fr-FR"/>
        </w:rPr>
        <w:t>institution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nationale des droits de l’homme que le Conseil </w:t>
      </w:r>
      <w:r w:rsidR="00025CF0" w:rsidRPr="00951DF0">
        <w:rPr>
          <w:rFonts w:ascii="Amnesty Trade Gothic" w:hAnsi="Amnesty Trade Gothic" w:cs="Times New Roman"/>
          <w:sz w:val="24"/>
          <w:szCs w:val="24"/>
          <w:lang w:val="fr-FR"/>
        </w:rPr>
        <w:t>fédéral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 xml:space="preserve"> a présenté le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28 juin 2017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,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même si nous estimons qu’il a besoin d’être amélioré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sur certains points.</w:t>
      </w:r>
    </w:p>
    <w:p w14:paraId="1263633C" w14:textId="10437E15" w:rsidR="00D52C02" w:rsidRPr="00951DF0" w:rsidRDefault="00D52C02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lastRenderedPageBreak/>
        <w:t>La plupart des réserves formulées ci-dessous auraient été superflues si le Conseil fédéral avait choisi l’option d’un « institut indépendant » au lieu de l’option « </w:t>
      </w:r>
      <w:r w:rsidR="001E0482">
        <w:rPr>
          <w:rFonts w:ascii="Amnesty Trade Gothic" w:hAnsi="Amnesty Trade Gothic" w:cs="Times New Roman"/>
          <w:sz w:val="24"/>
          <w:szCs w:val="24"/>
          <w:lang w:val="fr-FR"/>
        </w:rPr>
        <w:t>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tatu quo + » (cf. rapport explicatif, §1.3.7). 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L’institut indépendant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correspondait à 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la solution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pour laquelle les ONG suisses se sont engagées durant toute la procédure 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de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création d’une INDH.</w:t>
      </w:r>
    </w:p>
    <w:p w14:paraId="217A0E3C" w14:textId="22B2F86F" w:rsidR="00111F70" w:rsidRDefault="00D52C02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La Suisse doit selon nous viser à la création d’une INDH ayant le statut A et ceci constitue le fil conducteur de notre critique de </w:t>
      </w:r>
      <w:r w:rsidR="008F2AD6" w:rsidRPr="00951DF0">
        <w:rPr>
          <w:rFonts w:ascii="Amnesty Trade Gothic" w:hAnsi="Amnesty Trade Gothic" w:cs="Times New Roman"/>
          <w:sz w:val="24"/>
          <w:szCs w:val="24"/>
          <w:lang w:val="fr-FR"/>
        </w:rPr>
        <w:t>l’avant-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projet. 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 xml:space="preserve">L’INDH suisse doit correspondre entièrement aux Principes de Paris.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Tout autre objectif ne saurait correspondre </w:t>
      </w:r>
      <w:r w:rsidR="00643D26" w:rsidRPr="00951DF0">
        <w:rPr>
          <w:rFonts w:ascii="Amnesty Trade Gothic" w:hAnsi="Amnesty Trade Gothic" w:cs="Times New Roman"/>
          <w:sz w:val="24"/>
          <w:szCs w:val="24"/>
          <w:lang w:val="fr-FR"/>
        </w:rPr>
        <w:t>à l’image que la Suisse donne à la communauté internationale dans le domaine des droits humains.</w:t>
      </w:r>
      <w:r w:rsidR="008F2AD6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Toute autre solution ne répondrait ni à nos attentes vis-à-vis de la Suisse ni </w:t>
      </w:r>
      <w:r w:rsidR="00025CF0" w:rsidRPr="00951DF0">
        <w:rPr>
          <w:rFonts w:ascii="Amnesty Trade Gothic" w:hAnsi="Amnesty Trade Gothic" w:cs="Times New Roman"/>
          <w:sz w:val="24"/>
          <w:szCs w:val="24"/>
          <w:lang w:val="fr-FR"/>
        </w:rPr>
        <w:t>à l’image qu’elle se fait de sa politique des droits humains. Une INDH avec un statut B ne serait pas prise au sérieux au niveau international et ternirait l’image de notre pays.</w:t>
      </w:r>
    </w:p>
    <w:p w14:paraId="19688E5A" w14:textId="77777777" w:rsidR="003C625D" w:rsidRPr="00951DF0" w:rsidRDefault="003C625D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</w:p>
    <w:p w14:paraId="1350241E" w14:textId="3D2F7EBC" w:rsidR="00643D26" w:rsidRDefault="00025CF0" w:rsidP="005A57D4">
      <w:pPr>
        <w:spacing w:before="0" w:after="80"/>
        <w:ind w:left="0" w:firstLine="0"/>
        <w:rPr>
          <w:rFonts w:ascii="Amnesty Trade Gothic" w:hAnsi="Amnesty Trade Gothic" w:cs="Times New Roman"/>
          <w:b/>
          <w:smallCaps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b/>
          <w:smallCaps/>
          <w:sz w:val="24"/>
          <w:szCs w:val="24"/>
          <w:lang w:val="fr-FR"/>
        </w:rPr>
        <w:t xml:space="preserve">2. </w:t>
      </w:r>
      <w:r w:rsidR="00643D26" w:rsidRPr="00951DF0">
        <w:rPr>
          <w:rFonts w:ascii="Amnesty Trade Gothic" w:hAnsi="Amnesty Trade Gothic" w:cs="Times New Roman"/>
          <w:b/>
          <w:smallCaps/>
          <w:sz w:val="24"/>
          <w:szCs w:val="24"/>
          <w:lang w:val="fr-FR"/>
        </w:rPr>
        <w:t>Commentaires article par article:</w:t>
      </w:r>
    </w:p>
    <w:p w14:paraId="1223A4F1" w14:textId="2B52B638" w:rsidR="00643D26" w:rsidRPr="003C625D" w:rsidRDefault="00643D26" w:rsidP="00C07BF5">
      <w:pPr>
        <w:spacing w:before="0" w:after="80"/>
        <w:ind w:left="0" w:firstLine="0"/>
        <w:outlineLvl w:val="0"/>
        <w:rPr>
          <w:rFonts w:ascii="Amnesty Trade Gothic" w:hAnsi="Amnesty Trade Gothic" w:cs="Times New Roman"/>
          <w:b/>
          <w:sz w:val="24"/>
          <w:szCs w:val="24"/>
          <w:u w:val="single"/>
          <w:lang w:val="fr-FR"/>
        </w:rPr>
      </w:pPr>
      <w:r w:rsidRPr="003C625D">
        <w:rPr>
          <w:rFonts w:ascii="Amnesty Trade Gothic" w:hAnsi="Amnesty Trade Gothic" w:cs="Times New Roman"/>
          <w:b/>
          <w:sz w:val="24"/>
          <w:szCs w:val="24"/>
          <w:u w:val="single"/>
          <w:lang w:val="fr-FR"/>
        </w:rPr>
        <w:t xml:space="preserve">Article 1 Institution nationale des </w:t>
      </w:r>
      <w:r w:rsidR="00025CF0" w:rsidRPr="003C625D">
        <w:rPr>
          <w:rFonts w:ascii="Amnesty Trade Gothic" w:hAnsi="Amnesty Trade Gothic" w:cs="Times New Roman"/>
          <w:b/>
          <w:sz w:val="24"/>
          <w:szCs w:val="24"/>
          <w:u w:val="single"/>
          <w:lang w:val="fr-FR"/>
        </w:rPr>
        <w:t>d</w:t>
      </w:r>
      <w:r w:rsidRPr="003C625D">
        <w:rPr>
          <w:rFonts w:ascii="Amnesty Trade Gothic" w:hAnsi="Amnesty Trade Gothic" w:cs="Times New Roman"/>
          <w:b/>
          <w:sz w:val="24"/>
          <w:szCs w:val="24"/>
          <w:u w:val="single"/>
          <w:lang w:val="fr-FR"/>
        </w:rPr>
        <w:t>roits de l’homme</w:t>
      </w:r>
    </w:p>
    <w:p w14:paraId="41834D9B" w14:textId="62F2C87B" w:rsidR="006D0019" w:rsidRPr="00951DF0" w:rsidRDefault="00644AEB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La voie 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suivie,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conformém</w:t>
      </w:r>
      <w:r w:rsidR="001F7B30" w:rsidRPr="00951DF0">
        <w:rPr>
          <w:rFonts w:ascii="Amnesty Trade Gothic" w:hAnsi="Amnesty Trade Gothic" w:cs="Times New Roman"/>
          <w:sz w:val="24"/>
          <w:szCs w:val="24"/>
          <w:lang w:val="fr-FR"/>
        </w:rPr>
        <w:t>en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t à l’art. 1, al. 1, à savoir celle d’une loi 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relative à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un soutien financier</w:t>
      </w:r>
      <w:r w:rsidR="001E0482">
        <w:rPr>
          <w:rFonts w:ascii="Amnesty Trade Gothic" w:hAnsi="Amnesty Trade Gothic" w:cs="Times New Roman"/>
          <w:sz w:val="24"/>
          <w:szCs w:val="24"/>
          <w:lang w:val="fr-FR"/>
        </w:rPr>
        <w:t>,</w:t>
      </w:r>
      <w:r w:rsidR="001F7B30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nous parait être praticable. Le fait également que l’art. 1, al. 4 désigne explicitement une « institution nationale des droits de l’homme » au sens des « Principes de Paris »</w:t>
      </w:r>
      <w:r w:rsidR="001F7B30" w:rsidRPr="00951DF0">
        <w:rPr>
          <w:rStyle w:val="Funotenzeichen"/>
          <w:rFonts w:ascii="Amnesty Trade Gothic" w:hAnsi="Amnesty Trade Gothic" w:cs="Times New Roman"/>
          <w:sz w:val="24"/>
          <w:szCs w:val="24"/>
          <w:lang w:val="fr-FR"/>
        </w:rPr>
        <w:footnoteReference w:id="1"/>
      </w:r>
      <w:r w:rsidR="001F7B30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en tant que bénéficiaire de l’aide financière nous parait particulièrement bienvenu. </w:t>
      </w:r>
    </w:p>
    <w:p w14:paraId="4B435D8D" w14:textId="08021E66" w:rsidR="001F7B30" w:rsidRPr="00951DF0" w:rsidRDefault="001F7B30" w:rsidP="005A57D4">
      <w:pPr>
        <w:spacing w:before="0" w:after="80"/>
        <w:ind w:left="0" w:firstLine="0"/>
        <w:rPr>
          <w:rFonts w:ascii="Amnesty Trade Gothic" w:hAnsi="Amnesty Trade Gothic" w:cs="Times New Roman"/>
          <w:b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Le rapport explicatif fait plusieurs fois référence à une somme de 1 million de francs annuel à titre de « contribution aux coûts d’exploitation »</w:t>
      </w:r>
      <w:r w:rsidRPr="00951DF0">
        <w:rPr>
          <w:rStyle w:val="Funotenzeichen"/>
          <w:rFonts w:ascii="Amnesty Trade Gothic" w:hAnsi="Amnesty Trade Gothic" w:cs="Times New Roman"/>
          <w:sz w:val="24"/>
          <w:szCs w:val="24"/>
          <w:lang w:val="fr-FR"/>
        </w:rPr>
        <w:footnoteReference w:id="2"/>
      </w:r>
      <w:r w:rsidR="00BD2136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. </w:t>
      </w:r>
      <w:r w:rsidR="00BD2136"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 xml:space="preserve">Nous estimons que cette contribution de 1 million est </w:t>
      </w:r>
      <w:r w:rsidR="00D35E07">
        <w:rPr>
          <w:rFonts w:ascii="Amnesty Trade Gothic" w:hAnsi="Amnesty Trade Gothic" w:cs="Times New Roman"/>
          <w:b/>
          <w:sz w:val="24"/>
          <w:szCs w:val="24"/>
          <w:lang w:val="fr-FR"/>
        </w:rPr>
        <w:t>largement</w:t>
      </w:r>
      <w:r w:rsidR="00BD2136"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 xml:space="preserve"> insuffisante.</w:t>
      </w:r>
    </w:p>
    <w:p w14:paraId="71A4A035" w14:textId="08489E0F" w:rsidR="00BD2136" w:rsidRPr="00951DF0" w:rsidRDefault="00BD2136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Même si l’art. 2 al. 2 prévoit une contribution des hautes écoles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sous forme de mise à disposition gratuite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de l’infrastructure nécessaire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,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la somme de 1 mi</w:t>
      </w:r>
      <w:r w:rsidR="00053C1F" w:rsidRPr="00951DF0">
        <w:rPr>
          <w:rFonts w:ascii="Amnesty Trade Gothic" w:hAnsi="Amnesty Trade Gothic" w:cs="Times New Roman"/>
          <w:sz w:val="24"/>
          <w:szCs w:val="24"/>
          <w:lang w:val="fr-FR"/>
        </w:rPr>
        <w:t>llion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visant à financer les coûts d’exploitation ne permettra pas à la future INDH de s’acquitter de manière satisfaisante de toutes les tâches mentionnées à l’art. 3 de l’avant-projet LIDH. Nous 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établissons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cette estimation par comparaison avec les budgets d’autres INDH dans des États comparables à la Suisse (Autriche, Danemark, Liechtenstein</w:t>
      </w:r>
      <w:r w:rsidR="001E0482">
        <w:rPr>
          <w:rFonts w:ascii="Amnesty Trade Gothic" w:hAnsi="Amnesty Trade Gothic" w:cs="Times New Roman"/>
          <w:sz w:val="24"/>
          <w:szCs w:val="24"/>
          <w:lang w:val="fr-FR"/>
        </w:rPr>
        <w:t xml:space="preserve"> et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Norvège entre autres).</w:t>
      </w:r>
    </w:p>
    <w:p w14:paraId="006FD425" w14:textId="54F4B96A" w:rsidR="006953A3" w:rsidRPr="00951DF0" w:rsidRDefault="006953A3" w:rsidP="00C07BF5">
      <w:pPr>
        <w:spacing w:before="0" w:after="80"/>
        <w:ind w:left="0" w:firstLine="0"/>
        <w:outlineLvl w:val="0"/>
        <w:rPr>
          <w:rFonts w:ascii="Amnesty Trade Gothic" w:hAnsi="Amnesty Trade Gothic" w:cs="Times New Roman"/>
          <w:b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Article 2 : rattachement à des institutions du domaine des hautes écoles</w:t>
      </w:r>
    </w:p>
    <w:p w14:paraId="29117C0A" w14:textId="26163FBF" w:rsidR="006953A3" w:rsidRPr="00951DF0" w:rsidRDefault="006953A3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Selon l’art. 2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, al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. 1, l'INDH sera rattachée à « une ou plusieurs hautes écoles ou autres institutions du domaine des hautes écoles ». Il s’agit là du point central du modèle « Statu Quo +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 »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retenu par le Conseil fédéral. Cette option </w:t>
      </w:r>
      <w:r w:rsidR="00903FEC">
        <w:rPr>
          <w:szCs w:val="20"/>
          <w:lang w:val="fr-FR"/>
        </w:rPr>
        <w:t>fait référence à l’</w:t>
      </w:r>
      <w:r w:rsidR="00903FEC" w:rsidRPr="00CE507E">
        <w:rPr>
          <w:szCs w:val="20"/>
          <w:lang w:val="fr-FR"/>
        </w:rPr>
        <w:t xml:space="preserve">ancrage universitaire du Centre de Compétences pour les droits humains (CSDH) et </w:t>
      </w:r>
      <w:r w:rsidR="00903FEC">
        <w:rPr>
          <w:szCs w:val="20"/>
          <w:lang w:val="fr-FR"/>
        </w:rPr>
        <w:t>l’inscrit dans la loi</w:t>
      </w:r>
      <w:r w:rsidR="00E84A77">
        <w:rPr>
          <w:szCs w:val="20"/>
          <w:lang w:val="fr-FR"/>
        </w:rPr>
        <w:t xml:space="preserve">. </w:t>
      </w:r>
    </w:p>
    <w:p w14:paraId="7685991C" w14:textId="7ED6F40A" w:rsidR="006953A3" w:rsidRPr="00951DF0" w:rsidRDefault="006953A3" w:rsidP="00C07BF5">
      <w:pPr>
        <w:spacing w:before="0" w:after="80"/>
        <w:ind w:left="0" w:firstLine="0"/>
        <w:outlineLvl w:val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Nous avons des </w:t>
      </w: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objections de fond à un ancrage universitaire de l’INDH :</w:t>
      </w:r>
    </w:p>
    <w:p w14:paraId="7ADD2D79" w14:textId="6882B986" w:rsidR="006953A3" w:rsidRPr="00951DF0" w:rsidRDefault="006953A3" w:rsidP="005A57D4">
      <w:pPr>
        <w:pStyle w:val="Listenabsatz"/>
        <w:numPr>
          <w:ilvl w:val="0"/>
          <w:numId w:val="3"/>
        </w:numPr>
        <w:spacing w:before="0" w:after="80"/>
        <w:contextualSpacing w:val="0"/>
        <w:rPr>
          <w:rFonts w:ascii="Amnesty Trade Gothic" w:hAnsi="Amnesty Trade Gothic" w:cs="Times New Roman"/>
          <w:i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Conflit entre mandat lié au droits humains et liberté académique</w:t>
      </w:r>
    </w:p>
    <w:p w14:paraId="6474C052" w14:textId="3E985016" w:rsidR="006953A3" w:rsidRPr="00951DF0" w:rsidRDefault="00053C1F" w:rsidP="005A57D4">
      <w:pPr>
        <w:spacing w:before="0" w:after="80"/>
        <w:ind w:left="36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Un engagement en faveur des droits humains tel qu’exigé de la part d’une INDH n’est pas compatible avec la liberté académique et l’éthique de recherche qui sous-tend la recherche universitaire. </w:t>
      </w:r>
      <w:r w:rsidR="00383246" w:rsidRPr="00951DF0">
        <w:rPr>
          <w:rFonts w:ascii="Amnesty Trade Gothic" w:hAnsi="Amnesty Trade Gothic" w:cs="Times New Roman"/>
          <w:sz w:val="24"/>
          <w:szCs w:val="24"/>
          <w:lang w:val="fr-FR"/>
        </w:rPr>
        <w:t>Cette dernière procède de la transparence des résultats d’une recherche empirique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,</w:t>
      </w:r>
      <w:r w:rsidR="00383246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alors que l’engagement pour les droits humains implique un attachement à certaines valeurs clairement définies et des prises de positions objectives. L’exemple de l’Institut norvégien pour les droits humains, qui était rattaché à une université, a démontré que le conflit entre deux exigences incompatib</w:t>
      </w:r>
      <w:r w:rsidR="007914B7" w:rsidRPr="00951DF0">
        <w:rPr>
          <w:rFonts w:ascii="Amnesty Trade Gothic" w:hAnsi="Amnesty Trade Gothic" w:cs="Times New Roman"/>
          <w:sz w:val="24"/>
          <w:szCs w:val="24"/>
          <w:lang w:val="fr-FR"/>
        </w:rPr>
        <w:t>l</w:t>
      </w:r>
      <w:r w:rsidR="00383246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es </w:t>
      </w:r>
      <w:r w:rsidR="007914B7" w:rsidRPr="00951DF0">
        <w:rPr>
          <w:rFonts w:ascii="Amnesty Trade Gothic" w:hAnsi="Amnesty Trade Gothic" w:cs="Times New Roman"/>
          <w:sz w:val="24"/>
          <w:szCs w:val="24"/>
          <w:lang w:val="fr-FR"/>
        </w:rPr>
        <w:t>pour une IND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H</w:t>
      </w:r>
      <w:r w:rsidR="007914B7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peut mener tout droit à l’échec.</w:t>
      </w:r>
    </w:p>
    <w:p w14:paraId="175D11DB" w14:textId="1A72CFD2" w:rsidR="006953A3" w:rsidRPr="00951DF0" w:rsidRDefault="006953A3" w:rsidP="005A57D4">
      <w:pPr>
        <w:pStyle w:val="Listenabsatz"/>
        <w:numPr>
          <w:ilvl w:val="0"/>
          <w:numId w:val="3"/>
        </w:numPr>
        <w:spacing w:before="0" w:after="80"/>
        <w:contextualSpacing w:val="0"/>
        <w:rPr>
          <w:rFonts w:ascii="Amnesty Trade Gothic" w:hAnsi="Amnesty Trade Gothic" w:cs="Times New Roman"/>
          <w:i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lastRenderedPageBreak/>
        <w:t>Forme d’organisation peu judicieuse</w:t>
      </w:r>
    </w:p>
    <w:p w14:paraId="5260535F" w14:textId="3CB797F6" w:rsidR="007914B7" w:rsidRPr="00951DF0" w:rsidRDefault="007914B7" w:rsidP="005A57D4">
      <w:pPr>
        <w:spacing w:before="0" w:after="80"/>
        <w:ind w:left="36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Le rattachement à un réseau d’universités a – et le CSDH l’a démontré – des désavantages dans la pratique.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La charge que le travail </w:t>
      </w:r>
      <w:r w:rsidR="00682006">
        <w:rPr>
          <w:rFonts w:ascii="Amnesty Trade Gothic" w:hAnsi="Amnesty Trade Gothic" w:cs="Times New Roman"/>
          <w:sz w:val="24"/>
          <w:szCs w:val="24"/>
          <w:lang w:val="fr-FR"/>
        </w:rPr>
        <w:t>liée à la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coordination</w:t>
      </w:r>
      <w:r w:rsidR="004177C5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entre six instituts dépendant de cinq universités </w:t>
      </w:r>
      <w:r w:rsidR="00682006">
        <w:rPr>
          <w:rFonts w:ascii="Amnesty Trade Gothic" w:hAnsi="Amnesty Trade Gothic" w:cs="Times New Roman"/>
          <w:sz w:val="24"/>
          <w:szCs w:val="24"/>
          <w:lang w:val="fr-FR"/>
        </w:rPr>
        <w:t xml:space="preserve">s’est avérée considérable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pour le bureau du CSDH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.</w:t>
      </w:r>
      <w:r w:rsidR="004177C5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Elle a</w:t>
      </w:r>
      <w:r w:rsidR="004177C5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eu une influence certaine sur l’efficacité de l’institution et sur l’allocation de ses ressources limitées. L’alternative, à savoir le rattachement à une seule université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,</w:t>
      </w:r>
      <w:r w:rsidR="004177C5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est également impropre puisque le problème de la dépendance institutionnelle ne pourrait 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 xml:space="preserve">alors </w:t>
      </w:r>
      <w:r w:rsidR="004177C5" w:rsidRPr="00951DF0">
        <w:rPr>
          <w:rFonts w:ascii="Amnesty Trade Gothic" w:hAnsi="Amnesty Trade Gothic" w:cs="Times New Roman"/>
          <w:sz w:val="24"/>
          <w:szCs w:val="24"/>
          <w:lang w:val="fr-FR"/>
        </w:rPr>
        <w:t>qu’être renforcé.</w:t>
      </w:r>
    </w:p>
    <w:p w14:paraId="3D2047E4" w14:textId="4C2E5B97" w:rsidR="006953A3" w:rsidRPr="00951DF0" w:rsidRDefault="006953A3" w:rsidP="005A57D4">
      <w:pPr>
        <w:pStyle w:val="Listenabsatz"/>
        <w:numPr>
          <w:ilvl w:val="0"/>
          <w:numId w:val="3"/>
        </w:numPr>
        <w:spacing w:before="0" w:after="80"/>
        <w:contextualSpacing w:val="0"/>
        <w:rPr>
          <w:rFonts w:ascii="Amnesty Trade Gothic" w:hAnsi="Amnesty Trade Gothic" w:cs="Times New Roman"/>
          <w:i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>Subventions cachées au détriment de l’indépendance</w:t>
      </w:r>
    </w:p>
    <w:p w14:paraId="00003FF6" w14:textId="3B2001BF" w:rsidR="004177C5" w:rsidRPr="00951DF0" w:rsidRDefault="004177C5" w:rsidP="005A57D4">
      <w:pPr>
        <w:spacing w:before="0" w:after="80"/>
        <w:ind w:left="36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L’une des </w:t>
      </w:r>
      <w:r w:rsidR="00C82D25">
        <w:rPr>
          <w:rFonts w:ascii="Amnesty Trade Gothic" w:hAnsi="Amnesty Trade Gothic" w:cs="Times New Roman"/>
          <w:sz w:val="24"/>
          <w:szCs w:val="24"/>
          <w:lang w:val="fr-FR"/>
        </w:rPr>
        <w:t xml:space="preserve">principales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raisons motivant l’ancrage universitaire de l’institution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réside apparemment dans </w:t>
      </w:r>
      <w:r w:rsidR="000340CC" w:rsidRPr="00951DF0">
        <w:rPr>
          <w:rFonts w:ascii="Amnesty Trade Gothic" w:hAnsi="Amnesty Trade Gothic" w:cs="Times New Roman"/>
          <w:sz w:val="24"/>
          <w:szCs w:val="24"/>
          <w:lang w:val="fr-FR"/>
        </w:rPr>
        <w:t>la mise à disposition à titre gratuit de l’infrastructure nécessaire à l’institution par les hautes écoles concernées, soit indirectement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0340CC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par les cantons où elles sont domiciliées. Ce subventionnement caché </w:t>
      </w:r>
      <w:r w:rsidR="00D35E07">
        <w:rPr>
          <w:rFonts w:ascii="Amnesty Trade Gothic" w:hAnsi="Amnesty Trade Gothic" w:cs="Times New Roman"/>
          <w:sz w:val="24"/>
          <w:szCs w:val="24"/>
          <w:lang w:val="fr-FR"/>
        </w:rPr>
        <w:t>des</w:t>
      </w:r>
      <w:r w:rsidR="000340CC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cantons remet également en cause l’indépendance de l’institution</w:t>
      </w:r>
      <w:r w:rsidR="00682006">
        <w:rPr>
          <w:rFonts w:ascii="Amnesty Trade Gothic" w:hAnsi="Amnesty Trade Gothic" w:cs="Times New Roman"/>
          <w:sz w:val="24"/>
          <w:szCs w:val="24"/>
          <w:lang w:val="fr-FR"/>
        </w:rPr>
        <w:t>,</w:t>
      </w:r>
      <w:r w:rsidR="000340CC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même si celle-ci est expressément garantie vis-à-vis des instances auxquelles </w:t>
      </w:r>
      <w:r w:rsidR="00682006">
        <w:rPr>
          <w:rFonts w:ascii="Amnesty Trade Gothic" w:hAnsi="Amnesty Trade Gothic" w:cs="Times New Roman"/>
          <w:sz w:val="24"/>
          <w:szCs w:val="24"/>
          <w:lang w:val="fr-FR"/>
        </w:rPr>
        <w:t>l’INDH</w:t>
      </w:r>
      <w:r w:rsidR="00682006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0340CC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est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rattachée</w:t>
      </w:r>
      <w:r w:rsidR="000340CC" w:rsidRPr="00951DF0">
        <w:rPr>
          <w:rStyle w:val="Funotenzeichen"/>
          <w:rFonts w:ascii="Amnesty Trade Gothic" w:hAnsi="Amnesty Trade Gothic" w:cs="Times New Roman"/>
          <w:sz w:val="24"/>
          <w:szCs w:val="24"/>
          <w:lang w:val="fr-FR"/>
        </w:rPr>
        <w:footnoteReference w:id="3"/>
      </w:r>
      <w:r w:rsidR="000340CC" w:rsidRPr="00951DF0">
        <w:rPr>
          <w:rFonts w:ascii="Amnesty Trade Gothic" w:hAnsi="Amnesty Trade Gothic" w:cs="Times New Roman"/>
          <w:sz w:val="24"/>
          <w:szCs w:val="24"/>
          <w:lang w:val="fr-FR"/>
        </w:rPr>
        <w:t>.</w:t>
      </w:r>
    </w:p>
    <w:p w14:paraId="3A46ED89" w14:textId="6349C143" w:rsidR="000340CC" w:rsidRPr="00951DF0" w:rsidRDefault="000340CC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Malgré ces réserves sur le fond, nos remarques aux autres articles ci-dessous ne gardent leur valeur que si l’article 2 est adopté sous sa forme actuelle.</w:t>
      </w:r>
    </w:p>
    <w:p w14:paraId="4E137CDB" w14:textId="3FC491D5" w:rsidR="000340CC" w:rsidRPr="003C625D" w:rsidRDefault="000340CC" w:rsidP="00C07BF5">
      <w:pPr>
        <w:spacing w:before="0" w:after="80"/>
        <w:ind w:left="0" w:firstLine="0"/>
        <w:outlineLvl w:val="0"/>
        <w:rPr>
          <w:rFonts w:ascii="Amnesty Trade Gothic" w:hAnsi="Amnesty Trade Gothic" w:cs="Times New Roman"/>
          <w:b/>
          <w:sz w:val="24"/>
          <w:szCs w:val="24"/>
          <w:u w:val="single"/>
          <w:lang w:val="fr-FR"/>
        </w:rPr>
      </w:pPr>
      <w:r w:rsidRPr="003C625D">
        <w:rPr>
          <w:rFonts w:ascii="Amnesty Trade Gothic" w:hAnsi="Amnesty Trade Gothic" w:cs="Times New Roman"/>
          <w:b/>
          <w:sz w:val="24"/>
          <w:szCs w:val="24"/>
          <w:u w:val="single"/>
          <w:lang w:val="fr-FR"/>
        </w:rPr>
        <w:t>Article 3 Tâches</w:t>
      </w:r>
    </w:p>
    <w:p w14:paraId="731B66AD" w14:textId="4FC35F2C" w:rsidR="000340CC" w:rsidRPr="00951DF0" w:rsidRDefault="000340CC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Au premier alinéa de l’article 3, la </w:t>
      </w:r>
      <w:r w:rsidRPr="0099717B">
        <w:rPr>
          <w:rFonts w:ascii="Amnesty Trade Gothic" w:hAnsi="Amnesty Trade Gothic" w:cs="Times New Roman"/>
          <w:b/>
          <w:sz w:val="24"/>
          <w:szCs w:val="24"/>
          <w:lang w:val="fr-FR"/>
        </w:rPr>
        <w:t>promotion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des droits humains </w:t>
      </w:r>
      <w:r w:rsidR="00A862AA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est mentionnée comme unique objectif de la future INDH. La formule consacrée, tirée du titre même des « principes de Paris » et régulièrement mentionnée dans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le texte</w:t>
      </w:r>
      <w:r w:rsidR="00A862AA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est : « </w:t>
      </w:r>
      <w:r w:rsidR="00A862AA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promotion </w:t>
      </w:r>
      <w:r w:rsidR="00A862AA" w:rsidRPr="00951DF0">
        <w:rPr>
          <w:rFonts w:ascii="Amnesty Trade Gothic" w:hAnsi="Amnesty Trade Gothic" w:cs="Times New Roman"/>
          <w:b/>
          <w:i/>
          <w:sz w:val="24"/>
          <w:szCs w:val="24"/>
          <w:lang w:val="fr-FR"/>
        </w:rPr>
        <w:t>et protection</w:t>
      </w:r>
      <w:r w:rsidR="00A862AA" w:rsidRPr="00951DF0">
        <w:rPr>
          <w:rFonts w:ascii="Amnesty Trade Gothic" w:hAnsi="Amnesty Trade Gothic" w:cs="Times New Roman"/>
          <w:i/>
          <w:sz w:val="24"/>
          <w:szCs w:val="24"/>
          <w:lang w:val="fr-FR"/>
        </w:rPr>
        <w:t xml:space="preserve"> des droits de l’homme</w:t>
      </w:r>
      <w:r w:rsidR="00A862AA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 ».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Nous ne voyons</w:t>
      </w:r>
      <w:r w:rsidR="00A862AA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aucune raison objective pour supprimer </w:t>
      </w:r>
      <w:r w:rsidR="00F20EC1" w:rsidRPr="00951DF0">
        <w:rPr>
          <w:rFonts w:ascii="Amnesty Trade Gothic" w:hAnsi="Amnesty Trade Gothic" w:cs="Times New Roman"/>
          <w:sz w:val="24"/>
          <w:szCs w:val="24"/>
          <w:lang w:val="fr-FR"/>
        </w:rPr>
        <w:t>cette notion de protection dès lors qu’elle n’implique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,</w:t>
      </w:r>
      <w:r w:rsidR="00F20EC1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en soi et de par sa formulation non spécifique, aucune activité telle qu’une fonction de bureau de médiation (Ombudsman) ou de fonction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s</w:t>
      </w:r>
      <w:r w:rsidR="00F20EC1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normalement dévolue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s</w:t>
      </w:r>
      <w:r w:rsidR="00F20EC1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aux autorités et qui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sont</w:t>
      </w:r>
      <w:r w:rsidR="00F20EC1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de manière évidente exclues du cahier des charges de l’INDH. Nous recommandons donc l’utilisation à l’art. 3 al. 1 de la formule suivante : « </w:t>
      </w:r>
      <w:r w:rsidR="00F20EC1"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Dans le but de promouvoir et de protéger les droits de l’homme en Suisse (…)</w:t>
      </w:r>
      <w:r w:rsidR="00F20EC1" w:rsidRPr="00951DF0">
        <w:rPr>
          <w:rFonts w:ascii="Amnesty Trade Gothic" w:hAnsi="Amnesty Trade Gothic" w:cs="Times New Roman"/>
          <w:sz w:val="24"/>
          <w:szCs w:val="24"/>
          <w:lang w:val="fr-FR"/>
        </w:rPr>
        <w:t> »</w:t>
      </w:r>
    </w:p>
    <w:p w14:paraId="7D3EF3EE" w14:textId="6E9B0DFD" w:rsidR="000340CC" w:rsidRPr="00951DF0" w:rsidRDefault="00227A19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L</w:t>
      </w:r>
      <w:r w:rsidR="00F20EC1" w:rsidRPr="00951DF0">
        <w:rPr>
          <w:rFonts w:ascii="Amnesty Trade Gothic" w:hAnsi="Amnesty Trade Gothic" w:cs="Times New Roman"/>
          <w:sz w:val="24"/>
          <w:szCs w:val="24"/>
          <w:lang w:val="fr-FR"/>
        </w:rPr>
        <w:t>’énumération des diverses tâches dévolues à l’INDH</w:t>
      </w:r>
      <w:r w:rsidR="00D56565" w:rsidRPr="00951DF0">
        <w:rPr>
          <w:rStyle w:val="Funotenzeichen"/>
          <w:rFonts w:ascii="Amnesty Trade Gothic" w:hAnsi="Amnesty Trade Gothic" w:cs="Times New Roman"/>
          <w:sz w:val="24"/>
          <w:szCs w:val="24"/>
          <w:lang w:val="fr-FR"/>
        </w:rPr>
        <w:footnoteReference w:id="4"/>
      </w:r>
      <w:r w:rsidR="00D56565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est incomplète</w:t>
      </w:r>
      <w:r w:rsidR="00C82D25">
        <w:rPr>
          <w:rFonts w:ascii="Amnesty Trade Gothic" w:hAnsi="Amnesty Trade Gothic" w:cs="Times New Roman"/>
          <w:sz w:val="24"/>
          <w:szCs w:val="24"/>
          <w:lang w:val="fr-FR"/>
        </w:rPr>
        <w:t xml:space="preserve">.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Il y manque de manière évidente l’encadrement (Beratung) politique et le « monitoring ». Ces deux domaines d’activité doivent être possibles également en dehors du cadre des prestations de service</w:t>
      </w:r>
      <w:r w:rsidR="00682006">
        <w:rPr>
          <w:rFonts w:ascii="Amnesty Trade Gothic" w:hAnsi="Amnesty Trade Gothic" w:cs="Times New Roman"/>
          <w:sz w:val="24"/>
          <w:szCs w:val="24"/>
          <w:lang w:val="fr-FR"/>
        </w:rPr>
        <w:t>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mentionnées à l’art. 5 LIDH. Nous recommandons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 xml:space="preserve">donc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de compléter la liste des tâches de l’article 3 de la manière suivante : </w:t>
      </w:r>
    </w:p>
    <w:p w14:paraId="7922F58E" w14:textId="79AB7193" w:rsidR="00227A19" w:rsidRPr="00951DF0" w:rsidRDefault="00227A19" w:rsidP="005A57D4">
      <w:pPr>
        <w:spacing w:before="0" w:after="80"/>
        <w:ind w:left="0" w:firstLine="0"/>
        <w:rPr>
          <w:rFonts w:ascii="Amnesty Trade Gothic" w:hAnsi="Amnesty Trade Gothic" w:cs="Times New Roman"/>
          <w:b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g. Encadrement politique, en particulier du Conseil fédéral, du parlement</w:t>
      </w:r>
      <w:r w:rsidR="00C82D25">
        <w:rPr>
          <w:rFonts w:ascii="Amnesty Trade Gothic" w:hAnsi="Amnesty Trade Gothic" w:cs="Times New Roman"/>
          <w:b/>
          <w:sz w:val="24"/>
          <w:szCs w:val="24"/>
          <w:lang w:val="fr-FR"/>
        </w:rPr>
        <w:t>,</w:t>
      </w: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 xml:space="preserve"> de l’administration et des cantons.</w:t>
      </w:r>
    </w:p>
    <w:p w14:paraId="0B5E2296" w14:textId="0E520D30" w:rsidR="00227A19" w:rsidRPr="00951DF0" w:rsidRDefault="00227A19" w:rsidP="005A57D4">
      <w:pPr>
        <w:spacing w:before="0" w:after="80"/>
        <w:ind w:left="0" w:firstLine="0"/>
        <w:rPr>
          <w:rFonts w:ascii="Amnesty Trade Gothic" w:hAnsi="Amnesty Trade Gothic" w:cs="Times New Roman"/>
          <w:b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h. observation de la situation des droits de l’homme en Suisse</w:t>
      </w:r>
      <w:r w:rsidR="00C82D25">
        <w:rPr>
          <w:rFonts w:ascii="Amnesty Trade Gothic" w:hAnsi="Amnesty Trade Gothic" w:cs="Times New Roman"/>
          <w:b/>
          <w:sz w:val="24"/>
          <w:szCs w:val="24"/>
          <w:lang w:val="fr-FR"/>
        </w:rPr>
        <w:t>.</w:t>
      </w:r>
    </w:p>
    <w:p w14:paraId="1E099B5E" w14:textId="0B41284A" w:rsidR="00F20EC1" w:rsidRPr="00951DF0" w:rsidRDefault="00227A19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Dans le rapport explicatif, une différence importante avec l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’actuel Centre suisse de compétences pour les droits humains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(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CSDH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)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est mentionnée à propos de l’article 3</w:t>
      </w:r>
      <w:r w:rsidR="00682006">
        <w:rPr>
          <w:rFonts w:ascii="Amnesty Trade Gothic" w:hAnsi="Amnesty Trade Gothic" w:cs="Times New Roman"/>
          <w:sz w:val="24"/>
          <w:szCs w:val="24"/>
          <w:lang w:val="fr-FR"/>
        </w:rPr>
        <w:t xml:space="preserve"> :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L</w:t>
      </w:r>
      <w:r w:rsidR="00682006">
        <w:rPr>
          <w:rFonts w:ascii="Amnesty Trade Gothic" w:hAnsi="Amnesty Trade Gothic" w:cs="Times New Roman"/>
          <w:sz w:val="24"/>
          <w:szCs w:val="24"/>
          <w:lang w:val="fr-FR"/>
        </w:rPr>
        <w:t>’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INDH </w:t>
      </w:r>
      <w:r w:rsidR="003F5DFE" w:rsidRPr="00951DF0">
        <w:rPr>
          <w:rFonts w:ascii="Amnesty Trade Gothic" w:hAnsi="Amnesty Trade Gothic" w:cs="Times New Roman"/>
          <w:sz w:val="24"/>
          <w:szCs w:val="24"/>
          <w:lang w:val="fr-FR"/>
        </w:rPr>
        <w:t>peut « agir de sa propre initiative et définir elle-même ses activités et ses priorités »</w:t>
      </w:r>
      <w:r w:rsidR="003F5DFE" w:rsidRPr="00951DF0">
        <w:rPr>
          <w:rStyle w:val="Funotenzeichen"/>
          <w:rFonts w:ascii="Amnesty Trade Gothic" w:hAnsi="Amnesty Trade Gothic" w:cs="Times New Roman"/>
          <w:sz w:val="24"/>
          <w:szCs w:val="24"/>
          <w:lang w:val="fr-FR"/>
        </w:rPr>
        <w:footnoteReference w:id="5"/>
      </w:r>
      <w:r w:rsidR="003F5DFE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.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Ce point</w:t>
      </w:r>
      <w:r w:rsidR="003F5DFE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nous parait à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suffisamment</w:t>
      </w:r>
      <w:r w:rsidR="003F5DFE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important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pour qu’il doive,</w:t>
      </w:r>
      <w:r w:rsidR="003F5DFE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selon nous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,</w:t>
      </w:r>
      <w:r w:rsidR="003F5DFE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figurer</w:t>
      </w:r>
      <w:r w:rsidR="003F5DFE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en toute lettres dans un alinéa supplémentaire de l’article 3.</w:t>
      </w:r>
    </w:p>
    <w:p w14:paraId="507D040C" w14:textId="6B81A7A3" w:rsidR="003F5DFE" w:rsidRPr="00951DF0" w:rsidRDefault="003F5DFE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Nous proposons la formulation suivante :</w:t>
      </w:r>
    </w:p>
    <w:p w14:paraId="5CC777FA" w14:textId="5F4BC8A9" w:rsidR="003F5DFE" w:rsidRPr="0099717B" w:rsidRDefault="003F5DFE" w:rsidP="00C07BF5">
      <w:pPr>
        <w:spacing w:before="0" w:after="80"/>
        <w:ind w:left="0" w:firstLine="0"/>
        <w:outlineLvl w:val="0"/>
        <w:rPr>
          <w:rFonts w:ascii="Amnesty Trade Gothic" w:hAnsi="Amnesty Trade Gothic" w:cs="Times New Roman"/>
          <w:b/>
          <w:sz w:val="24"/>
          <w:szCs w:val="24"/>
          <w:lang w:val="fr-FR"/>
        </w:rPr>
      </w:pPr>
      <w:r w:rsidRPr="0099717B">
        <w:rPr>
          <w:rFonts w:ascii="Amnesty Trade Gothic" w:hAnsi="Amnesty Trade Gothic" w:cs="Times New Roman"/>
          <w:b/>
          <w:sz w:val="24"/>
          <w:szCs w:val="24"/>
          <w:lang w:val="fr-FR"/>
        </w:rPr>
        <w:lastRenderedPageBreak/>
        <w:t>Art.3, Tâches</w:t>
      </w:r>
    </w:p>
    <w:p w14:paraId="3DC44C2C" w14:textId="419C99EA" w:rsidR="003F5DFE" w:rsidRPr="0099717B" w:rsidRDefault="00951DF0" w:rsidP="005A57D4">
      <w:pPr>
        <w:spacing w:before="0" w:after="80"/>
        <w:ind w:left="0" w:firstLine="0"/>
        <w:rPr>
          <w:rFonts w:ascii="Amnesty Trade Gothic" w:hAnsi="Amnesty Trade Gothic" w:cs="Times New Roman"/>
          <w:b/>
          <w:sz w:val="24"/>
          <w:szCs w:val="24"/>
          <w:lang w:val="fr-FR"/>
        </w:rPr>
      </w:pPr>
      <w:r w:rsidRPr="0099717B">
        <w:rPr>
          <w:rFonts w:ascii="Amnesty Trade Gothic" w:hAnsi="Amnesty Trade Gothic" w:cs="Times New Roman"/>
          <w:b/>
          <w:sz w:val="24"/>
          <w:szCs w:val="24"/>
          <w:lang w:val="fr-FR"/>
        </w:rPr>
        <w:t>Al</w:t>
      </w:r>
      <w:r w:rsidR="003F5DFE" w:rsidRPr="0099717B">
        <w:rPr>
          <w:rFonts w:ascii="Amnesty Trade Gothic" w:hAnsi="Amnesty Trade Gothic" w:cs="Times New Roman"/>
          <w:b/>
          <w:sz w:val="24"/>
          <w:szCs w:val="24"/>
          <w:lang w:val="fr-FR"/>
        </w:rPr>
        <w:t>. 1(nouveau) L’institution nationale des droits de l’homme</w:t>
      </w:r>
      <w:r w:rsidR="001F01CE">
        <w:rPr>
          <w:rFonts w:ascii="Amnesty Trade Gothic" w:hAnsi="Amnesty Trade Gothic" w:cs="Times New Roman"/>
          <w:b/>
          <w:sz w:val="24"/>
          <w:szCs w:val="24"/>
          <w:lang w:val="fr-FR"/>
        </w:rPr>
        <w:t xml:space="preserve"> </w:t>
      </w:r>
      <w:r w:rsidR="003F5DFE" w:rsidRPr="0099717B">
        <w:rPr>
          <w:rFonts w:ascii="Amnesty Trade Gothic" w:hAnsi="Amnesty Trade Gothic" w:cs="Times New Roman"/>
          <w:b/>
          <w:sz w:val="24"/>
          <w:szCs w:val="24"/>
          <w:lang w:val="fr-FR"/>
        </w:rPr>
        <w:t xml:space="preserve"> </w:t>
      </w:r>
      <w:r w:rsidR="00C82D25">
        <w:rPr>
          <w:rFonts w:ascii="Amnesty Trade Gothic" w:hAnsi="Amnesty Trade Gothic" w:cs="Times New Roman"/>
          <w:b/>
          <w:sz w:val="24"/>
          <w:szCs w:val="24"/>
          <w:lang w:val="fr-FR"/>
        </w:rPr>
        <w:t>a</w:t>
      </w:r>
      <w:r w:rsidR="003F5DFE" w:rsidRPr="0099717B">
        <w:rPr>
          <w:rFonts w:ascii="Amnesty Trade Gothic" w:hAnsi="Amnesty Trade Gothic" w:cs="Times New Roman"/>
          <w:b/>
          <w:sz w:val="24"/>
          <w:szCs w:val="24"/>
          <w:lang w:val="fr-FR"/>
        </w:rPr>
        <w:t xml:space="preserve"> la compétence d’agir de sa propre initiative et de communiquer de manière indépendante sur les thèmes de son choix</w:t>
      </w:r>
      <w:r w:rsidR="00C82D25">
        <w:rPr>
          <w:rFonts w:ascii="Amnesty Trade Gothic" w:hAnsi="Amnesty Trade Gothic" w:cs="Times New Roman"/>
          <w:b/>
          <w:sz w:val="24"/>
          <w:szCs w:val="24"/>
          <w:lang w:val="fr-FR"/>
        </w:rPr>
        <w:t>.</w:t>
      </w:r>
      <w:r w:rsidR="003F5DFE" w:rsidRPr="0099717B">
        <w:rPr>
          <w:rFonts w:ascii="Amnesty Trade Gothic" w:hAnsi="Amnesty Trade Gothic" w:cs="Times New Roman"/>
          <w:b/>
          <w:sz w:val="24"/>
          <w:szCs w:val="24"/>
          <w:lang w:val="fr-FR"/>
        </w:rPr>
        <w:t xml:space="preserve"> </w:t>
      </w:r>
    </w:p>
    <w:p w14:paraId="795DF5D3" w14:textId="34C3B95F" w:rsidR="003F5DFE" w:rsidRPr="00951DF0" w:rsidRDefault="003F5DFE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al.2 dans le but de promouvoir et de protéger les droits de l’homme (…) </w:t>
      </w:r>
    </w:p>
    <w:p w14:paraId="3318E617" w14:textId="34361D66" w:rsidR="003F5DFE" w:rsidRPr="00951DF0" w:rsidRDefault="003F5DFE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Toujours à propos de l’article 3, le rapport explicatif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affirme que « la politique étrangère de la Suisse en matière de droits de l’homme est en revanche en principe exclue du domaine d’activité de l’INDH »</w:t>
      </w:r>
      <w:r w:rsidRPr="00951DF0">
        <w:rPr>
          <w:rStyle w:val="Funotenzeichen"/>
          <w:rFonts w:ascii="Amnesty Trade Gothic" w:hAnsi="Amnesty Trade Gothic" w:cs="Times New Roman"/>
          <w:sz w:val="24"/>
          <w:szCs w:val="24"/>
          <w:lang w:val="fr-FR"/>
        </w:rPr>
        <w:footnoteReference w:id="6"/>
      </w:r>
      <w:r w:rsidR="00315CAB" w:rsidRPr="00951DF0">
        <w:rPr>
          <w:rFonts w:ascii="Amnesty Trade Gothic" w:hAnsi="Amnesty Trade Gothic" w:cs="Times New Roman"/>
          <w:sz w:val="24"/>
          <w:szCs w:val="24"/>
          <w:lang w:val="fr-FR"/>
        </w:rPr>
        <w:t>. Ce</w:t>
      </w:r>
      <w:r w:rsidR="00E15B6A" w:rsidRPr="00951DF0">
        <w:rPr>
          <w:rFonts w:ascii="Amnesty Trade Gothic" w:hAnsi="Amnesty Trade Gothic" w:cs="Times New Roman"/>
          <w:sz w:val="24"/>
          <w:szCs w:val="24"/>
          <w:lang w:val="fr-FR"/>
        </w:rPr>
        <w:t>tte observation nous parait hor</w:t>
      </w:r>
      <w:r w:rsidR="00315CAB" w:rsidRPr="00951DF0">
        <w:rPr>
          <w:rFonts w:ascii="Amnesty Trade Gothic" w:hAnsi="Amnesty Trade Gothic" w:cs="Times New Roman"/>
          <w:sz w:val="24"/>
          <w:szCs w:val="24"/>
          <w:lang w:val="fr-FR"/>
        </w:rPr>
        <w:t>s contexte et arbitraire. Il est en effet nécessaire, pour tout ce qui concerne les questions de cohérence politique dans le domaine des droits humains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,</w:t>
      </w:r>
      <w:r w:rsidR="00315CAB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que la </w:t>
      </w:r>
      <w:r w:rsidR="00315CAB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politique </w:t>
      </w:r>
      <w:r w:rsidR="00903FEC">
        <w:rPr>
          <w:rFonts w:ascii="Amnesty Trade Gothic" w:hAnsi="Amnesty Trade Gothic" w:cs="Times New Roman"/>
          <w:sz w:val="24"/>
          <w:szCs w:val="24"/>
          <w:lang w:val="fr-FR"/>
        </w:rPr>
        <w:t>extérieure</w:t>
      </w:r>
      <w:r w:rsidR="00903FEC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315CAB" w:rsidRPr="00951DF0">
        <w:rPr>
          <w:rFonts w:ascii="Amnesty Trade Gothic" w:hAnsi="Amnesty Trade Gothic" w:cs="Times New Roman"/>
          <w:sz w:val="24"/>
          <w:szCs w:val="24"/>
          <w:lang w:val="fr-FR"/>
        </w:rPr>
        <w:t>des droits humains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 xml:space="preserve"> figure dans le mandat de l’INDH</w:t>
      </w:r>
      <w:r w:rsidR="00315CAB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. De nombreux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sujet</w:t>
      </w:r>
      <w:r w:rsidR="00C82D25">
        <w:rPr>
          <w:rFonts w:ascii="Amnesty Trade Gothic" w:hAnsi="Amnesty Trade Gothic" w:cs="Times New Roman"/>
          <w:sz w:val="24"/>
          <w:szCs w:val="24"/>
          <w:lang w:val="fr-FR"/>
        </w:rPr>
        <w:t>s</w:t>
      </w:r>
      <w:r w:rsidR="00315CAB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thématiques </w:t>
      </w:r>
      <w:r w:rsidR="00315CAB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comme les exportations de matériel de guerre, comportent </w:t>
      </w:r>
      <w:r w:rsidR="00315CAB" w:rsidRPr="00E84A77">
        <w:rPr>
          <w:rFonts w:ascii="Amnesty Trade Gothic" w:hAnsi="Amnesty Trade Gothic" w:cs="Times New Roman"/>
          <w:i/>
          <w:sz w:val="24"/>
          <w:szCs w:val="24"/>
          <w:lang w:val="fr-FR"/>
        </w:rPr>
        <w:t>de facto</w:t>
      </w:r>
      <w:r w:rsidR="00315CAB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une composante transfrontalière significative. Vouloir exclure la dimension de politique extérieure du mandat de l’INDH nous parait inadéquat et dysfonctionnel. Les « principes de Paris</w:t>
      </w:r>
      <w:r w:rsidR="00C82D25">
        <w:rPr>
          <w:rFonts w:ascii="Amnesty Trade Gothic" w:hAnsi="Amnesty Trade Gothic" w:cs="Times New Roman"/>
          <w:sz w:val="24"/>
          <w:szCs w:val="24"/>
          <w:lang w:val="fr-FR"/>
        </w:rPr>
        <w:t> »</w:t>
      </w:r>
      <w:r w:rsidR="00315CAB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préconisent </w:t>
      </w:r>
      <w:r w:rsidR="0099717B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par ailleurs </w:t>
      </w:r>
      <w:r w:rsidR="00315CAB" w:rsidRPr="00951DF0">
        <w:rPr>
          <w:rFonts w:ascii="Amnesty Trade Gothic" w:hAnsi="Amnesty Trade Gothic" w:cs="Times New Roman"/>
          <w:sz w:val="24"/>
          <w:szCs w:val="24"/>
          <w:lang w:val="fr-FR"/>
        </w:rPr>
        <w:t>l’octroi d’un mandat le plus large possible aux institutions nationales.</w:t>
      </w:r>
    </w:p>
    <w:p w14:paraId="69BE0735" w14:textId="36FFFA5D" w:rsidR="00025CF0" w:rsidRPr="00951DF0" w:rsidRDefault="00315CAB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Nous sommes fermement convaincus, que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E15B6A" w:rsidRPr="00951DF0">
        <w:rPr>
          <w:rFonts w:ascii="Amnesty Trade Gothic" w:hAnsi="Amnesty Trade Gothic" w:cs="Times New Roman"/>
          <w:sz w:val="24"/>
          <w:szCs w:val="24"/>
          <w:lang w:val="fr-FR"/>
        </w:rPr>
        <w:t>l’activité de l’INDH dans tous les domaines des droits humains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,</w:t>
      </w:r>
      <w:r w:rsidR="00E15B6A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 xml:space="preserve">que ce soit en </w:t>
      </w:r>
      <w:r w:rsidR="00E15B6A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en politique intérieure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 xml:space="preserve">ou </w:t>
      </w:r>
      <w:r w:rsidR="00903FEC">
        <w:rPr>
          <w:rFonts w:ascii="Amnesty Trade Gothic" w:hAnsi="Amnesty Trade Gothic" w:cs="Times New Roman"/>
          <w:sz w:val="24"/>
          <w:szCs w:val="24"/>
          <w:lang w:val="fr-FR"/>
        </w:rPr>
        <w:t>extérieure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,</w:t>
      </w:r>
      <w:r w:rsidR="00E15B6A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doit être ancrée dans la loi. Ceci pourrait être concrétisé également par un ajout à l’art.3 al. 1 (nouveau) tel que proposé ci-dess</w:t>
      </w:r>
      <w:r w:rsidR="00350554">
        <w:rPr>
          <w:rFonts w:ascii="Amnesty Trade Gothic" w:hAnsi="Amnesty Trade Gothic" w:cs="Times New Roman"/>
          <w:sz w:val="24"/>
          <w:szCs w:val="24"/>
          <w:lang w:val="fr-FR"/>
        </w:rPr>
        <w:t>o</w:t>
      </w:r>
      <w:r w:rsidR="00E15B6A" w:rsidRPr="00951DF0">
        <w:rPr>
          <w:rFonts w:ascii="Amnesty Trade Gothic" w:hAnsi="Amnesty Trade Gothic" w:cs="Times New Roman"/>
          <w:sz w:val="24"/>
          <w:szCs w:val="24"/>
          <w:lang w:val="fr-FR"/>
        </w:rPr>
        <w:t>us :</w:t>
      </w:r>
    </w:p>
    <w:p w14:paraId="0D64DF1C" w14:textId="1CDEAAD6" w:rsidR="00E15B6A" w:rsidRPr="00951DF0" w:rsidRDefault="00E15B6A" w:rsidP="005A57D4">
      <w:pPr>
        <w:spacing w:before="0" w:after="80"/>
        <w:ind w:left="0" w:firstLine="0"/>
        <w:rPr>
          <w:rFonts w:ascii="Amnesty Trade Gothic" w:hAnsi="Amnesty Trade Gothic" w:cs="Times New Roman"/>
          <w:b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 xml:space="preserve">Le champ de travail de l’INDH couvre toutes les questions relatives à la mise en oeuvre de l’ensemble des droits de l’homme en politique intérieure comme en politique </w:t>
      </w:r>
      <w:r w:rsidR="00903FEC">
        <w:rPr>
          <w:rFonts w:ascii="Amnesty Trade Gothic" w:hAnsi="Amnesty Trade Gothic" w:cs="Times New Roman"/>
          <w:b/>
          <w:sz w:val="24"/>
          <w:szCs w:val="24"/>
          <w:lang w:val="fr-FR"/>
        </w:rPr>
        <w:t>extérieure</w:t>
      </w:r>
    </w:p>
    <w:p w14:paraId="10882AD0" w14:textId="55CF651F" w:rsidR="00E15B6A" w:rsidRPr="003C625D" w:rsidRDefault="00E15B6A" w:rsidP="00C07BF5">
      <w:pPr>
        <w:spacing w:before="0" w:after="80"/>
        <w:ind w:left="0" w:firstLine="0"/>
        <w:outlineLvl w:val="0"/>
        <w:rPr>
          <w:rFonts w:ascii="Amnesty Trade Gothic" w:hAnsi="Amnesty Trade Gothic" w:cs="Times New Roman"/>
          <w:b/>
          <w:sz w:val="24"/>
          <w:szCs w:val="24"/>
          <w:u w:val="single"/>
          <w:lang w:val="fr-FR"/>
        </w:rPr>
      </w:pPr>
      <w:r w:rsidRPr="003C625D">
        <w:rPr>
          <w:rFonts w:ascii="Amnesty Trade Gothic" w:hAnsi="Amnesty Trade Gothic" w:cs="Times New Roman"/>
          <w:b/>
          <w:sz w:val="24"/>
          <w:szCs w:val="24"/>
          <w:u w:val="single"/>
          <w:lang w:val="fr-FR"/>
        </w:rPr>
        <w:t>Article 5: Représentation pluraliste des forces sociales concernées</w:t>
      </w:r>
    </w:p>
    <w:p w14:paraId="52DF265B" w14:textId="4BA498D8" w:rsidR="00E15B6A" w:rsidRPr="00951DF0" w:rsidRDefault="00E15B6A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Nous saluons l’inclusion du principe organisationnel du pluralisme dans le projet de loi. Il est de même utile que l’expression « forces sociales concernées » soit précisée dans le rapport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explicatif</w:t>
      </w:r>
      <w:r w:rsidRPr="00951DF0">
        <w:rPr>
          <w:rStyle w:val="Funotenzeichen"/>
          <w:rFonts w:ascii="Amnesty Trade Gothic" w:hAnsi="Amnesty Trade Gothic" w:cs="Times New Roman"/>
          <w:sz w:val="24"/>
          <w:szCs w:val="24"/>
          <w:lang w:val="fr-FR"/>
        </w:rPr>
        <w:footnoteReference w:id="7"/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.</w:t>
      </w:r>
    </w:p>
    <w:p w14:paraId="36641328" w14:textId="76911FBA" w:rsidR="000B0D4F" w:rsidRPr="00951DF0" w:rsidRDefault="000B0D4F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Nous estimons cependant que cette disposition sous sa forme actuelle n’est pas suffisante pour permettre de définir un cadre à la structure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organisationnelle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de l’INDH. De très nombreuses questions restent ouvertes, que la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Confédération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devrait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régler</w:t>
      </w:r>
      <w:r w:rsidR="00350554">
        <w:rPr>
          <w:rFonts w:ascii="Amnesty Trade Gothic" w:hAnsi="Amnesty Trade Gothic" w:cs="Times New Roman"/>
          <w:sz w:val="24"/>
          <w:szCs w:val="24"/>
          <w:lang w:val="fr-FR"/>
        </w:rPr>
        <w:t>. C’est le cas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 xml:space="preserve"> par exemple</w:t>
      </w:r>
      <w:r w:rsidR="00350554">
        <w:rPr>
          <w:rFonts w:ascii="Amnesty Trade Gothic" w:hAnsi="Amnesty Trade Gothic" w:cs="Times New Roman"/>
          <w:sz w:val="24"/>
          <w:szCs w:val="24"/>
          <w:lang w:val="fr-FR"/>
        </w:rPr>
        <w:t xml:space="preserve"> de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la procédure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de nomination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aux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organes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décisionnels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ou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 xml:space="preserve">à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la direction.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D’autres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décision</w:t>
      </w:r>
      <w:r w:rsidR="00350554">
        <w:rPr>
          <w:rFonts w:ascii="Amnesty Trade Gothic" w:hAnsi="Amnesty Trade Gothic" w:cs="Times New Roman"/>
          <w:sz w:val="24"/>
          <w:szCs w:val="24"/>
          <w:lang w:val="fr-FR"/>
        </w:rPr>
        <w:t>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relevant du droit de la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personne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comme, par exemple, la possibilité ou non d’être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simultanément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membre de la direction de l’INDH et employé par un institut universitaire donné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,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doivent être réglées en priorité, et non déléguées aux Hautes Ecoles porteuses du projet.</w:t>
      </w:r>
    </w:p>
    <w:p w14:paraId="69C68601" w14:textId="551334FD" w:rsidR="000B0D4F" w:rsidRPr="00951DF0" w:rsidRDefault="000B0D4F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Nous pensons qu’une ordonnance d’application </w:t>
      </w:r>
      <w:r w:rsidR="00350554">
        <w:rPr>
          <w:rFonts w:ascii="Amnesty Trade Gothic" w:hAnsi="Amnesty Trade Gothic" w:cs="Times New Roman"/>
          <w:sz w:val="24"/>
          <w:szCs w:val="24"/>
          <w:lang w:val="fr-FR"/>
        </w:rPr>
        <w:t xml:space="preserve">de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l</w:t>
      </w:r>
      <w:r w:rsidR="00350554">
        <w:rPr>
          <w:rFonts w:ascii="Amnesty Trade Gothic" w:hAnsi="Amnesty Trade Gothic" w:cs="Times New Roman"/>
          <w:sz w:val="24"/>
          <w:szCs w:val="24"/>
          <w:lang w:val="fr-FR"/>
        </w:rPr>
        <w:t>’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L</w:t>
      </w:r>
      <w:r w:rsidR="00350554">
        <w:rPr>
          <w:rFonts w:ascii="Amnesty Trade Gothic" w:hAnsi="Amnesty Trade Gothic" w:cs="Times New Roman"/>
          <w:sz w:val="24"/>
          <w:szCs w:val="24"/>
          <w:lang w:val="fr-FR"/>
        </w:rPr>
        <w:t>I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DH constituerait un instrument adé</w:t>
      </w:r>
      <w:r w:rsidR="00326A1F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quat pour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régler</w:t>
      </w:r>
      <w:r w:rsidR="00326A1F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ces questions et n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ous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proposons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326A1F" w:rsidRPr="00951DF0">
        <w:rPr>
          <w:rFonts w:ascii="Amnesty Trade Gothic" w:hAnsi="Amnesty Trade Gothic" w:cs="Times New Roman"/>
          <w:sz w:val="24"/>
          <w:szCs w:val="24"/>
          <w:lang w:val="fr-FR"/>
        </w:rPr>
        <w:t>de compléter l’article 5 par un alinéa ayant la teneur suivante</w:t>
      </w:r>
      <w:r w:rsidR="00350554">
        <w:rPr>
          <w:rFonts w:ascii="Amnesty Trade Gothic" w:hAnsi="Amnesty Trade Gothic" w:cs="Times New Roman"/>
          <w:sz w:val="24"/>
          <w:szCs w:val="24"/>
          <w:lang w:val="fr-FR"/>
        </w:rPr>
        <w:t> :</w:t>
      </w:r>
    </w:p>
    <w:p w14:paraId="74A50A1F" w14:textId="5CE4B0BD" w:rsidR="00025CF0" w:rsidRPr="00951DF0" w:rsidRDefault="00326A1F" w:rsidP="005A57D4">
      <w:pPr>
        <w:spacing w:before="0" w:after="80"/>
        <w:ind w:left="0" w:firstLine="0"/>
        <w:rPr>
          <w:rFonts w:ascii="Amnesty Trade Gothic" w:hAnsi="Amnesty Trade Gothic" w:cs="Times New Roman"/>
          <w:b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 xml:space="preserve">Art. 5 </w:t>
      </w:r>
      <w:r w:rsidR="00101280">
        <w:rPr>
          <w:rFonts w:ascii="Amnesty Trade Gothic" w:hAnsi="Amnesty Trade Gothic" w:cs="Times New Roman"/>
          <w:b/>
          <w:sz w:val="24"/>
          <w:szCs w:val="24"/>
          <w:lang w:val="fr-FR"/>
        </w:rPr>
        <w:t>a</w:t>
      </w: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l.</w:t>
      </w:r>
      <w:r w:rsidR="00101280">
        <w:rPr>
          <w:rFonts w:ascii="Amnesty Trade Gothic" w:hAnsi="Amnesty Trade Gothic" w:cs="Times New Roman"/>
          <w:b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2 (nouveau) Le cadre organisationnel de l’INDH sera défini par voie d’ordonnance en tenant compte des exigences des principes de Paris.</w:t>
      </w:r>
    </w:p>
    <w:p w14:paraId="775DB37D" w14:textId="373C2AB2" w:rsidR="00326A1F" w:rsidRPr="00951DF0" w:rsidRDefault="00326A1F" w:rsidP="005A57D4">
      <w:pPr>
        <w:spacing w:before="0" w:after="80"/>
        <w:ind w:left="0" w:firstLine="0"/>
        <w:rPr>
          <w:rFonts w:ascii="Amnesty Trade Gothic" w:hAnsi="Amnesty Trade Gothic" w:cs="Times New Roman"/>
          <w:b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Le titre de la disposition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devrait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être adapté en conséquence et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pourrait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devenir: 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« </w:t>
      </w:r>
      <w:r w:rsidR="0099717B">
        <w:rPr>
          <w:rFonts w:ascii="Amnesty Trade Gothic" w:hAnsi="Amnesty Trade Gothic" w:cs="Times New Roman"/>
          <w:b/>
          <w:sz w:val="24"/>
          <w:szCs w:val="24"/>
          <w:lang w:val="fr-FR"/>
        </w:rPr>
        <w:t>Art. 5 Organisation »</w:t>
      </w:r>
    </w:p>
    <w:p w14:paraId="60BBC742" w14:textId="0D79012B" w:rsidR="00326A1F" w:rsidRPr="003C625D" w:rsidRDefault="00326A1F" w:rsidP="00C07BF5">
      <w:pPr>
        <w:spacing w:before="0" w:after="80"/>
        <w:ind w:left="0" w:firstLine="0"/>
        <w:outlineLvl w:val="0"/>
        <w:rPr>
          <w:rFonts w:ascii="Amnesty Trade Gothic" w:hAnsi="Amnesty Trade Gothic" w:cs="Times New Roman"/>
          <w:b/>
          <w:sz w:val="24"/>
          <w:szCs w:val="24"/>
          <w:u w:val="single"/>
          <w:lang w:val="fr-FR"/>
        </w:rPr>
      </w:pPr>
      <w:r w:rsidRPr="003C625D">
        <w:rPr>
          <w:rFonts w:ascii="Amnesty Trade Gothic" w:hAnsi="Amnesty Trade Gothic" w:cs="Times New Roman"/>
          <w:b/>
          <w:sz w:val="24"/>
          <w:szCs w:val="24"/>
          <w:u w:val="single"/>
          <w:lang w:val="fr-FR"/>
        </w:rPr>
        <w:t>Article 8: Indépendance</w:t>
      </w:r>
    </w:p>
    <w:p w14:paraId="72869C23" w14:textId="2E76A581" w:rsidR="00326A1F" w:rsidRPr="00951DF0" w:rsidRDefault="00326A1F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lastRenderedPageBreak/>
        <w:t>L’article 8 garanti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>t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l’indépendance de l’INDH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dans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l’exécution de ses tâches</w:t>
      </w:r>
      <w:r w:rsidR="00350554">
        <w:rPr>
          <w:rFonts w:ascii="Amnesty Trade Gothic" w:hAnsi="Amnesty Trade Gothic" w:cs="Times New Roman"/>
          <w:sz w:val="24"/>
          <w:szCs w:val="24"/>
          <w:lang w:val="fr-FR"/>
        </w:rPr>
        <w:t>,</w:t>
      </w:r>
      <w:r w:rsidR="0099717B">
        <w:rPr>
          <w:rFonts w:ascii="Amnesty Trade Gothic" w:hAnsi="Amnesty Trade Gothic" w:cs="Times New Roman"/>
          <w:sz w:val="24"/>
          <w:szCs w:val="24"/>
          <w:lang w:val="fr-FR"/>
        </w:rPr>
        <w:t xml:space="preserve"> d’une part vis à v</w:t>
      </w:r>
      <w:r w:rsidR="00036638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is de la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Confédération</w:t>
      </w:r>
      <w:r w:rsidR="00036638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et d’autre part vis à vis des hautes écoles auxquelles elle est rattachée</w:t>
      </w:r>
      <w:r w:rsidR="00350554">
        <w:rPr>
          <w:rFonts w:ascii="Amnesty Trade Gothic" w:hAnsi="Amnesty Trade Gothic" w:cs="Times New Roman"/>
          <w:sz w:val="24"/>
          <w:szCs w:val="24"/>
          <w:lang w:val="fr-FR"/>
        </w:rPr>
        <w:t xml:space="preserve">. Ceci semble très positif </w:t>
      </w:r>
      <w:r w:rsidR="00036638" w:rsidRPr="00951DF0">
        <w:rPr>
          <w:rFonts w:ascii="Amnesty Trade Gothic" w:hAnsi="Amnesty Trade Gothic" w:cs="Times New Roman"/>
          <w:sz w:val="24"/>
          <w:szCs w:val="24"/>
          <w:lang w:val="fr-FR"/>
        </w:rPr>
        <w:t>au premier regard</w:t>
      </w:r>
      <w:r w:rsidR="00350554">
        <w:rPr>
          <w:rFonts w:ascii="Amnesty Trade Gothic" w:hAnsi="Amnesty Trade Gothic" w:cs="Times New Roman"/>
          <w:sz w:val="24"/>
          <w:szCs w:val="24"/>
          <w:lang w:val="fr-FR"/>
        </w:rPr>
        <w:t>.</w:t>
      </w:r>
    </w:p>
    <w:p w14:paraId="3FBD3F70" w14:textId="18B81AAF" w:rsidR="00036638" w:rsidRPr="00951DF0" w:rsidRDefault="00036638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À y regarder de plus près, il est</w:t>
      </w:r>
      <w:r w:rsidR="00101280">
        <w:rPr>
          <w:rFonts w:ascii="Amnesty Trade Gothic" w:hAnsi="Amnesty Trade Gothic" w:cs="Times New Roman"/>
          <w:sz w:val="24"/>
          <w:szCs w:val="24"/>
          <w:lang w:val="fr-FR"/>
        </w:rPr>
        <w:t xml:space="preserve"> cependant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paradoxal que l’indépendance de l’INDH vis à vis des hautes école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>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auxquelles elle est rattachée doive être ainsi 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>formellement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rappelée. 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>Nous y voyons</w:t>
      </w:r>
      <w:r w:rsid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la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conséquence directe du conflit potentiel entre le milieu universitaire et la capacité</w:t>
      </w:r>
      <w:r w:rsid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d’agir de manière autonome de l’INDH. </w:t>
      </w:r>
    </w:p>
    <w:p w14:paraId="5A377CFC" w14:textId="4D3B5610" w:rsidR="00036638" w:rsidRPr="00951DF0" w:rsidRDefault="00036638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Le rapport explicatif</w:t>
      </w:r>
      <w:r w:rsidRPr="00951DF0">
        <w:rPr>
          <w:rStyle w:val="Funotenzeichen"/>
          <w:rFonts w:ascii="Amnesty Trade Gothic" w:hAnsi="Amnesty Trade Gothic" w:cs="Times New Roman"/>
          <w:sz w:val="24"/>
          <w:szCs w:val="24"/>
          <w:lang w:val="fr-FR"/>
        </w:rPr>
        <w:footnoteReference w:id="8"/>
      </w:r>
      <w:r w:rsid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rend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attentif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au fait que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l’indépendance de l’instit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>ution « 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peut </w:t>
      </w:r>
      <w:proofErr w:type="spellStart"/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entre</w:t>
      </w:r>
      <w:proofErr w:type="spellEnd"/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autres être renforcée par l’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attribution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d’une personnalité juridique propre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> »</w:t>
      </w:r>
      <w:r w:rsidR="00350554">
        <w:rPr>
          <w:rFonts w:ascii="Amnesty Trade Gothic" w:hAnsi="Amnesty Trade Gothic" w:cs="Times New Roman"/>
          <w:sz w:val="24"/>
          <w:szCs w:val="24"/>
          <w:lang w:val="fr-FR"/>
        </w:rPr>
        <w:t>.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="00D946ED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Sont à ce propos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envisageables</w:t>
      </w:r>
      <w:r w:rsidR="00D946ED" w:rsidRPr="00951DF0">
        <w:rPr>
          <w:rFonts w:ascii="Amnesty Trade Gothic" w:hAnsi="Amnesty Trade Gothic" w:cs="Times New Roman"/>
          <w:sz w:val="24"/>
          <w:szCs w:val="24"/>
          <w:lang w:val="fr-FR"/>
        </w:rPr>
        <w:t>, toujour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>s selon le rapport explicatif, « </w:t>
      </w:r>
      <w:r w:rsidR="00D946ED" w:rsidRPr="00951DF0">
        <w:rPr>
          <w:rFonts w:ascii="Amnesty Trade Gothic" w:hAnsi="Amnesty Trade Gothic" w:cs="Times New Roman"/>
          <w:sz w:val="24"/>
          <w:szCs w:val="24"/>
          <w:lang w:val="fr-FR"/>
        </w:rPr>
        <w:t>les formes juridiques de la fondation ou de l’association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> »</w:t>
      </w:r>
      <w:r w:rsidR="00D946ED" w:rsidRPr="00951DF0">
        <w:rPr>
          <w:rStyle w:val="Funotenzeichen"/>
          <w:rFonts w:ascii="Amnesty Trade Gothic" w:hAnsi="Amnesty Trade Gothic" w:cs="Times New Roman"/>
          <w:sz w:val="24"/>
          <w:szCs w:val="24"/>
          <w:lang w:val="fr-FR"/>
        </w:rPr>
        <w:footnoteReference w:id="9"/>
      </w:r>
      <w:r w:rsidR="00D946ED" w:rsidRPr="00951DF0">
        <w:rPr>
          <w:rFonts w:ascii="Amnesty Trade Gothic" w:hAnsi="Amnesty Trade Gothic" w:cs="Times New Roman"/>
          <w:sz w:val="24"/>
          <w:szCs w:val="24"/>
          <w:lang w:val="fr-FR"/>
        </w:rPr>
        <w:t>. Nous y voyons pour notre par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>t</w:t>
      </w:r>
      <w:r w:rsidR="00D946ED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non pas une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possibilité mais</w:t>
      </w:r>
      <w:r w:rsidR="00D946ED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une nécessité.</w:t>
      </w:r>
    </w:p>
    <w:p w14:paraId="586BEE79" w14:textId="69E476BA" w:rsidR="00D946ED" w:rsidRPr="00951DF0" w:rsidRDefault="00D946ED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Si l’on part </w:t>
      </w:r>
      <w:proofErr w:type="gramStart"/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du</w:t>
      </w:r>
      <w:proofErr w:type="gramEnd"/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prémisse qu’un rattachement universitaire de l’INDH est indispensable, la personnali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>té juridique propre à l’INDH es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t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une condition </w:t>
      </w:r>
      <w:r w:rsidR="00350554">
        <w:rPr>
          <w:rFonts w:ascii="Amnesty Trade Gothic" w:hAnsi="Amnesty Trade Gothic" w:cs="Times New Roman"/>
          <w:sz w:val="24"/>
          <w:szCs w:val="24"/>
          <w:lang w:val="fr-FR"/>
        </w:rPr>
        <w:t>sine qua non</w:t>
      </w:r>
      <w:r w:rsidR="00350554"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pour que l’indépendance statutaire vis à vis des hautes 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écoles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auxquelles elle est rattachée ne reste pas un voeu pieux. Nous insistons donc fermement pour que l’article 8 soit complété en conséquence et clarifie la question de l’</w:t>
      </w:r>
      <w:r w:rsidR="00951DF0" w:rsidRPr="00951DF0">
        <w:rPr>
          <w:rFonts w:ascii="Amnesty Trade Gothic" w:hAnsi="Amnesty Trade Gothic" w:cs="Times New Roman"/>
          <w:sz w:val="24"/>
          <w:szCs w:val="24"/>
          <w:lang w:val="fr-FR"/>
        </w:rPr>
        <w:t>indépendance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 juridique.</w:t>
      </w:r>
    </w:p>
    <w:p w14:paraId="13BBE271" w14:textId="053FB65D" w:rsidR="00D946ED" w:rsidRPr="00951DF0" w:rsidRDefault="00D946ED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Nous proposons l’aj</w:t>
      </w:r>
      <w:r w:rsidR="002B3320" w:rsidRPr="00951DF0">
        <w:rPr>
          <w:rFonts w:ascii="Amnesty Trade Gothic" w:hAnsi="Amnesty Trade Gothic" w:cs="Times New Roman"/>
          <w:sz w:val="24"/>
          <w:szCs w:val="24"/>
          <w:lang w:val="fr-FR"/>
        </w:rPr>
        <w:t>o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ut d’un alinéa 2 à l’article 8 ayant la teneur suivante: </w:t>
      </w:r>
    </w:p>
    <w:p w14:paraId="29EAC572" w14:textId="7843D304" w:rsidR="00D946ED" w:rsidRPr="00951DF0" w:rsidRDefault="00D946ED" w:rsidP="005A57D4">
      <w:pPr>
        <w:spacing w:before="0" w:after="80"/>
        <w:ind w:left="0" w:firstLine="0"/>
        <w:rPr>
          <w:rFonts w:ascii="Amnesty Trade Gothic" w:hAnsi="Amnesty Trade Gothic" w:cs="Times New Roman"/>
          <w:b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 xml:space="preserve">Art. 8 al. 2 (nouveau) L’indépendance est garantie par </w:t>
      </w:r>
      <w:r w:rsidR="002B3320" w:rsidRPr="00951DF0">
        <w:rPr>
          <w:rFonts w:ascii="Amnesty Trade Gothic" w:hAnsi="Amnesty Trade Gothic" w:cs="Times New Roman"/>
          <w:b/>
          <w:sz w:val="24"/>
          <w:szCs w:val="24"/>
          <w:lang w:val="fr-FR"/>
        </w:rPr>
        <w:t>une personnalité juridique propre à l’institution.</w:t>
      </w:r>
    </w:p>
    <w:p w14:paraId="368913C9" w14:textId="2FE59FBB" w:rsidR="00025CF0" w:rsidRPr="00951DF0" w:rsidRDefault="00025CF0" w:rsidP="005A57D4">
      <w:pPr>
        <w:spacing w:before="0" w:after="80"/>
        <w:ind w:left="0" w:firstLine="0"/>
        <w:rPr>
          <w:rFonts w:ascii="Amnesty Trade Gothic" w:hAnsi="Amnesty Trade Gothic" w:cs="Times New Roman"/>
          <w:b/>
          <w:sz w:val="24"/>
          <w:szCs w:val="24"/>
          <w:lang w:val="fr-FR"/>
        </w:rPr>
      </w:pPr>
    </w:p>
    <w:p w14:paraId="0BD67162" w14:textId="7CAB9E86" w:rsidR="00025CF0" w:rsidRPr="00951DF0" w:rsidRDefault="00951DF0" w:rsidP="005A57D4">
      <w:pPr>
        <w:autoSpaceDE w:val="0"/>
        <w:autoSpaceDN w:val="0"/>
        <w:adjustRightInd w:val="0"/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Nous v</w:t>
      </w:r>
      <w:r>
        <w:rPr>
          <w:rFonts w:ascii="Amnesty Trade Gothic" w:hAnsi="Amnesty Trade Gothic" w:cs="Times New Roman"/>
          <w:sz w:val="24"/>
          <w:szCs w:val="24"/>
          <w:lang w:val="fr-FR"/>
        </w:rPr>
        <w:t>o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 xml:space="preserve">us remercions de l’attention que vous voudrez bien porter </w:t>
      </w:r>
      <w:r w:rsidR="001F01CE">
        <w:rPr>
          <w:rFonts w:ascii="Amnesty Trade Gothic" w:hAnsi="Amnesty Trade Gothic" w:cs="Times New Roman"/>
          <w:sz w:val="24"/>
          <w:szCs w:val="24"/>
          <w:lang w:val="fr-FR"/>
        </w:rPr>
        <w:t xml:space="preserve">à la présente prise de position </w:t>
      </w:r>
      <w:r w:rsidRPr="00951DF0">
        <w:rPr>
          <w:rFonts w:ascii="Amnesty Trade Gothic" w:hAnsi="Amnesty Trade Gothic" w:cs="Times New Roman"/>
          <w:sz w:val="24"/>
          <w:szCs w:val="24"/>
          <w:lang w:val="fr-FR"/>
        </w:rPr>
        <w:t>et vous adressons nos meilleures salutations</w:t>
      </w:r>
      <w:r>
        <w:rPr>
          <w:rFonts w:ascii="Amnesty Trade Gothic" w:hAnsi="Amnesty Trade Gothic" w:cs="Times New Roman"/>
          <w:sz w:val="24"/>
          <w:szCs w:val="24"/>
          <w:lang w:val="fr-FR"/>
        </w:rPr>
        <w:t>.</w:t>
      </w:r>
    </w:p>
    <w:p w14:paraId="00D0EB5E" w14:textId="77777777" w:rsidR="000934C1" w:rsidRDefault="000934C1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</w:p>
    <w:p w14:paraId="463850DB" w14:textId="77777777" w:rsidR="00951DF0" w:rsidRDefault="00951DF0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</w:p>
    <w:p w14:paraId="7982BD45" w14:textId="77777777" w:rsidR="00951DF0" w:rsidRDefault="00951DF0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</w:p>
    <w:p w14:paraId="27A3E67F" w14:textId="55CE554D" w:rsidR="00951DF0" w:rsidRPr="00951DF0" w:rsidRDefault="00951DF0" w:rsidP="005A57D4">
      <w:pPr>
        <w:spacing w:before="0" w:after="80"/>
        <w:ind w:left="0" w:firstLine="0"/>
        <w:rPr>
          <w:rFonts w:ascii="Amnesty Trade Gothic" w:hAnsi="Amnesty Trade Gothic" w:cs="Times New Roman"/>
          <w:sz w:val="24"/>
          <w:szCs w:val="24"/>
          <w:lang w:val="fr-FR"/>
        </w:rPr>
      </w:pPr>
      <w:r>
        <w:rPr>
          <w:rFonts w:ascii="Amnesty Trade Gothic" w:hAnsi="Amnesty Trade Gothic" w:cs="Times New Roman"/>
          <w:sz w:val="24"/>
          <w:szCs w:val="24"/>
          <w:lang w:val="fr-FR"/>
        </w:rPr>
        <w:t>Signature</w:t>
      </w:r>
    </w:p>
    <w:sectPr w:rsidR="00951DF0" w:rsidRPr="00951DF0" w:rsidSect="00111F70"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BFD2FD" w15:done="0"/>
  <w15:commentEx w15:paraId="1EBD1367" w15:paraIdParent="40BFD2FD" w15:done="0"/>
  <w15:commentEx w15:paraId="7AA32BCD" w15:done="0"/>
  <w15:commentEx w15:paraId="4EC6C77D" w15:done="0"/>
  <w15:commentEx w15:paraId="4F7B656B" w15:done="0"/>
  <w15:commentEx w15:paraId="4090AB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0A303" w14:textId="77777777" w:rsidR="00D464E3" w:rsidRDefault="00D464E3" w:rsidP="001D0876">
      <w:pPr>
        <w:spacing w:before="0"/>
      </w:pPr>
      <w:r>
        <w:separator/>
      </w:r>
    </w:p>
  </w:endnote>
  <w:endnote w:type="continuationSeparator" w:id="0">
    <w:p w14:paraId="650D3FAD" w14:textId="77777777" w:rsidR="00D464E3" w:rsidRDefault="00D464E3" w:rsidP="001D08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60545" w14:textId="77777777" w:rsidR="00D464E3" w:rsidRDefault="00D464E3" w:rsidP="001D0876">
      <w:pPr>
        <w:spacing w:before="0"/>
      </w:pPr>
      <w:r>
        <w:separator/>
      </w:r>
    </w:p>
  </w:footnote>
  <w:footnote w:type="continuationSeparator" w:id="0">
    <w:p w14:paraId="765AC754" w14:textId="77777777" w:rsidR="00D464E3" w:rsidRDefault="00D464E3" w:rsidP="001D0876">
      <w:pPr>
        <w:spacing w:before="0"/>
      </w:pPr>
      <w:r>
        <w:continuationSeparator/>
      </w:r>
    </w:p>
  </w:footnote>
  <w:footnote w:id="1">
    <w:p w14:paraId="7C8A6540" w14:textId="51F8C5CE" w:rsidR="005A57D4" w:rsidRPr="001F7B30" w:rsidRDefault="005A57D4" w:rsidP="001F7B30">
      <w:pPr>
        <w:pStyle w:val="Default"/>
      </w:pPr>
      <w:r>
        <w:rPr>
          <w:rStyle w:val="Funotenzeichen"/>
        </w:rPr>
        <w:footnoteRef/>
      </w:r>
      <w:r>
        <w:t xml:space="preserve"> </w:t>
      </w:r>
      <w:r w:rsidRPr="00BD2136">
        <w:rPr>
          <w:rFonts w:asciiTheme="minorHAnsi" w:hAnsiTheme="minorHAnsi"/>
          <w:sz w:val="16"/>
          <w:szCs w:val="16"/>
        </w:rPr>
        <w:t>Annexe de la résolution 48/134 de l'Assemblée générale de l'Organisation des Nations Unies du 20 décembre 1993</w:t>
      </w:r>
    </w:p>
  </w:footnote>
  <w:footnote w:id="2">
    <w:p w14:paraId="229054F8" w14:textId="3CA7E475" w:rsidR="005A57D4" w:rsidRPr="00343458" w:rsidRDefault="005A57D4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43458">
        <w:rPr>
          <w:lang w:val="en-US"/>
        </w:rPr>
        <w:t xml:space="preserve"> </w:t>
      </w:r>
      <w:r w:rsidRPr="00343458">
        <w:rPr>
          <w:sz w:val="16"/>
          <w:szCs w:val="16"/>
          <w:lang w:val="en-US"/>
        </w:rPr>
        <w:t>Art. 1, al 2 LIDH</w:t>
      </w:r>
    </w:p>
  </w:footnote>
  <w:footnote w:id="3">
    <w:p w14:paraId="2701A9A5" w14:textId="55F1DB7B" w:rsidR="005A57D4" w:rsidRPr="00343458" w:rsidRDefault="005A57D4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43458">
        <w:rPr>
          <w:lang w:val="en-US"/>
        </w:rPr>
        <w:t xml:space="preserve"> </w:t>
      </w:r>
      <w:r w:rsidRPr="00343458">
        <w:rPr>
          <w:sz w:val="16"/>
          <w:szCs w:val="16"/>
          <w:lang w:val="en-US"/>
        </w:rPr>
        <w:t>Art. 8 LIDH</w:t>
      </w:r>
    </w:p>
  </w:footnote>
  <w:footnote w:id="4">
    <w:p w14:paraId="0F9C6D95" w14:textId="78E96029" w:rsidR="005A57D4" w:rsidRPr="00343458" w:rsidRDefault="005A57D4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43458">
        <w:rPr>
          <w:lang w:val="en-US"/>
        </w:rPr>
        <w:t xml:space="preserve"> </w:t>
      </w:r>
      <w:r w:rsidRPr="00343458">
        <w:rPr>
          <w:sz w:val="16"/>
          <w:szCs w:val="16"/>
          <w:lang w:val="en-US"/>
        </w:rPr>
        <w:t>Art. 3, al. 1, littt. a à f</w:t>
      </w:r>
    </w:p>
  </w:footnote>
  <w:footnote w:id="5">
    <w:p w14:paraId="5E5DAFE4" w14:textId="1588EA65" w:rsidR="005A57D4" w:rsidRPr="003F5DFE" w:rsidRDefault="005A57D4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3F5DFE">
        <w:rPr>
          <w:lang w:val="fr-CH"/>
        </w:rPr>
        <w:t xml:space="preserve"> </w:t>
      </w:r>
      <w:r w:rsidRPr="003F5DFE">
        <w:rPr>
          <w:sz w:val="16"/>
          <w:szCs w:val="16"/>
          <w:lang w:val="fr-CH"/>
        </w:rPr>
        <w:t>Rapport explicatif, p. 20</w:t>
      </w:r>
    </w:p>
  </w:footnote>
  <w:footnote w:id="6">
    <w:p w14:paraId="13E2A59A" w14:textId="5BADD495" w:rsidR="005A57D4" w:rsidRPr="003F5DFE" w:rsidRDefault="005A57D4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343458">
        <w:rPr>
          <w:lang w:val="fr-CH"/>
        </w:rPr>
        <w:t xml:space="preserve"> </w:t>
      </w:r>
      <w:r w:rsidRPr="003F5DFE">
        <w:rPr>
          <w:sz w:val="16"/>
          <w:szCs w:val="16"/>
          <w:lang w:val="fr-CH"/>
        </w:rPr>
        <w:t>rapport explicatif, page 20</w:t>
      </w:r>
      <w:r>
        <w:rPr>
          <w:lang w:val="fr-CH"/>
        </w:rPr>
        <w:t>.</w:t>
      </w:r>
    </w:p>
  </w:footnote>
  <w:footnote w:id="7">
    <w:p w14:paraId="7CF10B77" w14:textId="4422D1D9" w:rsidR="005A57D4" w:rsidRPr="00E15B6A" w:rsidRDefault="005A57D4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43458">
        <w:rPr>
          <w:lang w:val="fr-CH"/>
        </w:rPr>
        <w:t xml:space="preserve"> </w:t>
      </w:r>
      <w:r w:rsidRPr="00E15B6A">
        <w:rPr>
          <w:sz w:val="16"/>
          <w:szCs w:val="16"/>
          <w:lang w:val="fr-FR"/>
        </w:rPr>
        <w:t>Rapport explicatif, page 22</w:t>
      </w:r>
    </w:p>
  </w:footnote>
  <w:footnote w:id="8">
    <w:p w14:paraId="62A6CB85" w14:textId="62E60FFD" w:rsidR="005A57D4" w:rsidRPr="00036638" w:rsidRDefault="005A57D4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43458">
        <w:rPr>
          <w:lang w:val="fr-CH"/>
        </w:rPr>
        <w:t xml:space="preserve"> </w:t>
      </w:r>
      <w:r>
        <w:rPr>
          <w:lang w:val="fr-FR"/>
        </w:rPr>
        <w:t>R</w:t>
      </w:r>
      <w:r w:rsidRPr="00036638">
        <w:rPr>
          <w:sz w:val="16"/>
          <w:szCs w:val="16"/>
          <w:lang w:val="fr-FR"/>
        </w:rPr>
        <w:t>apport explicatif, page 23</w:t>
      </w:r>
    </w:p>
  </w:footnote>
  <w:footnote w:id="9">
    <w:p w14:paraId="42F4C762" w14:textId="7F623649" w:rsidR="005A57D4" w:rsidRPr="00D946ED" w:rsidRDefault="005A57D4">
      <w:pPr>
        <w:pStyle w:val="Funotentext"/>
        <w:rPr>
          <w:lang w:val="fr-FR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fr-FR"/>
        </w:rPr>
        <w:t>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DA99" w14:textId="77777777" w:rsidR="005A57D4" w:rsidRDefault="005A57D4">
    <w:pPr>
      <w:pStyle w:val="Kopfzeile"/>
    </w:pPr>
    <w:r>
      <w:t>[Logo Organisation]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F6B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806D4"/>
    <w:multiLevelType w:val="hybridMultilevel"/>
    <w:tmpl w:val="60D07532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170"/>
    <w:multiLevelType w:val="hybridMultilevel"/>
    <w:tmpl w:val="05D073B6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C5FDA"/>
    <w:multiLevelType w:val="hybridMultilevel"/>
    <w:tmpl w:val="046292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in Bovard">
    <w15:presenceInfo w15:providerId="AD" w15:userId="S-1-5-21-445411729-531407587-3265214295-1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C6"/>
    <w:rsid w:val="00025CF0"/>
    <w:rsid w:val="000340CC"/>
    <w:rsid w:val="00036638"/>
    <w:rsid w:val="00053C1F"/>
    <w:rsid w:val="000934C1"/>
    <w:rsid w:val="000B0D4F"/>
    <w:rsid w:val="000D0C53"/>
    <w:rsid w:val="000F13F8"/>
    <w:rsid w:val="000F7351"/>
    <w:rsid w:val="00101280"/>
    <w:rsid w:val="00111F70"/>
    <w:rsid w:val="001C7AFF"/>
    <w:rsid w:val="001D0876"/>
    <w:rsid w:val="001E0482"/>
    <w:rsid w:val="001F01CE"/>
    <w:rsid w:val="001F4834"/>
    <w:rsid w:val="001F7B30"/>
    <w:rsid w:val="00200DF6"/>
    <w:rsid w:val="0022231E"/>
    <w:rsid w:val="0022787F"/>
    <w:rsid w:val="00227A19"/>
    <w:rsid w:val="00265FC6"/>
    <w:rsid w:val="002B3320"/>
    <w:rsid w:val="002C272A"/>
    <w:rsid w:val="00315CAB"/>
    <w:rsid w:val="003212D6"/>
    <w:rsid w:val="00326A1F"/>
    <w:rsid w:val="00343458"/>
    <w:rsid w:val="00350554"/>
    <w:rsid w:val="00383246"/>
    <w:rsid w:val="003B4A26"/>
    <w:rsid w:val="003C625D"/>
    <w:rsid w:val="003F129E"/>
    <w:rsid w:val="003F5DFE"/>
    <w:rsid w:val="004177C5"/>
    <w:rsid w:val="00424522"/>
    <w:rsid w:val="004A60F7"/>
    <w:rsid w:val="004B2E6A"/>
    <w:rsid w:val="004C02DD"/>
    <w:rsid w:val="00501C9C"/>
    <w:rsid w:val="00530115"/>
    <w:rsid w:val="00531306"/>
    <w:rsid w:val="005A57D4"/>
    <w:rsid w:val="005E0162"/>
    <w:rsid w:val="006064BD"/>
    <w:rsid w:val="006100C6"/>
    <w:rsid w:val="00643D26"/>
    <w:rsid w:val="00644AEB"/>
    <w:rsid w:val="006629B2"/>
    <w:rsid w:val="00670406"/>
    <w:rsid w:val="00682006"/>
    <w:rsid w:val="006953A3"/>
    <w:rsid w:val="006D0019"/>
    <w:rsid w:val="006D5883"/>
    <w:rsid w:val="006E0E78"/>
    <w:rsid w:val="00787FC5"/>
    <w:rsid w:val="007914B7"/>
    <w:rsid w:val="007B1F45"/>
    <w:rsid w:val="00894267"/>
    <w:rsid w:val="008F2AD6"/>
    <w:rsid w:val="00903FEC"/>
    <w:rsid w:val="009357A0"/>
    <w:rsid w:val="00951DF0"/>
    <w:rsid w:val="0099717B"/>
    <w:rsid w:val="00A02E6E"/>
    <w:rsid w:val="00A74FB9"/>
    <w:rsid w:val="00A862AA"/>
    <w:rsid w:val="00AD5E79"/>
    <w:rsid w:val="00AD684F"/>
    <w:rsid w:val="00B14FF5"/>
    <w:rsid w:val="00B46647"/>
    <w:rsid w:val="00BD2136"/>
    <w:rsid w:val="00C07BF5"/>
    <w:rsid w:val="00C156C8"/>
    <w:rsid w:val="00C15A51"/>
    <w:rsid w:val="00C8109E"/>
    <w:rsid w:val="00C82D25"/>
    <w:rsid w:val="00D35E07"/>
    <w:rsid w:val="00D36492"/>
    <w:rsid w:val="00D464E3"/>
    <w:rsid w:val="00D52C02"/>
    <w:rsid w:val="00D56565"/>
    <w:rsid w:val="00D946ED"/>
    <w:rsid w:val="00DA1CC4"/>
    <w:rsid w:val="00DF1232"/>
    <w:rsid w:val="00DF2310"/>
    <w:rsid w:val="00E07DD6"/>
    <w:rsid w:val="00E15B6A"/>
    <w:rsid w:val="00E73693"/>
    <w:rsid w:val="00E84A77"/>
    <w:rsid w:val="00F07D5A"/>
    <w:rsid w:val="00F20EC1"/>
    <w:rsid w:val="00F6366A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106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7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0876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876"/>
  </w:style>
  <w:style w:type="paragraph" w:styleId="Fuzeile">
    <w:name w:val="footer"/>
    <w:basedOn w:val="Standard"/>
    <w:link w:val="FuzeileZchn"/>
    <w:uiPriority w:val="99"/>
    <w:unhideWhenUsed/>
    <w:rsid w:val="001D0876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1D08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16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162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4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4C1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34C1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64B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064BD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F7B30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F7B3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F7B30"/>
    <w:rPr>
      <w:vertAlign w:val="superscript"/>
    </w:rPr>
  </w:style>
  <w:style w:type="paragraph" w:customStyle="1" w:styleId="Default">
    <w:name w:val="Default"/>
    <w:rsid w:val="001F7B30"/>
    <w:pPr>
      <w:autoSpaceDE w:val="0"/>
      <w:autoSpaceDN w:val="0"/>
      <w:adjustRightInd w:val="0"/>
      <w:spacing w:before="0"/>
      <w:ind w:left="0" w:firstLine="0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07BF5"/>
    <w:pPr>
      <w:spacing w:before="0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07BF5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C07BF5"/>
    <w:pPr>
      <w:spacing w:before="0"/>
      <w:ind w:left="0" w:firstLine="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B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B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7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0876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876"/>
  </w:style>
  <w:style w:type="paragraph" w:styleId="Fuzeile">
    <w:name w:val="footer"/>
    <w:basedOn w:val="Standard"/>
    <w:link w:val="FuzeileZchn"/>
    <w:uiPriority w:val="99"/>
    <w:unhideWhenUsed/>
    <w:rsid w:val="001D0876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1D08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16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162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4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4C1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34C1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64B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064BD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F7B30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F7B3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F7B30"/>
    <w:rPr>
      <w:vertAlign w:val="superscript"/>
    </w:rPr>
  </w:style>
  <w:style w:type="paragraph" w:customStyle="1" w:styleId="Default">
    <w:name w:val="Default"/>
    <w:rsid w:val="001F7B30"/>
    <w:pPr>
      <w:autoSpaceDE w:val="0"/>
      <w:autoSpaceDN w:val="0"/>
      <w:adjustRightInd w:val="0"/>
      <w:spacing w:before="0"/>
      <w:ind w:left="0" w:firstLine="0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07BF5"/>
    <w:pPr>
      <w:spacing w:before="0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07BF5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C07BF5"/>
    <w:pPr>
      <w:spacing w:before="0"/>
      <w:ind w:left="0" w:firstLine="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B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B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932A-91D8-445A-92A7-8B01290A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Vorlage1</Template>
  <TotalTime>0</TotalTime>
  <Pages>5</Pages>
  <Words>1835</Words>
  <Characters>11563</Characters>
  <Application>Microsoft Office Word</Application>
  <DocSecurity>0</DocSecurity>
  <Lines>96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DOCUMENT NON FORMATÉ</vt:lpstr>
      <vt:lpstr>Observation préliminaire:</vt:lpstr>
      <vt:lpstr>Département fédéral de justice et police</vt:lpstr>
      <vt:lpstr>Berne, le XXXX 2017</vt:lpstr>
      <vt:lpstr>Article 1 Institution nationale des droits de l’homme</vt:lpstr>
      <vt:lpstr>Article 2 : rattachement à des institutions du domaine des hautes écoles</vt:lpstr>
      <vt:lpstr>Nous avons des objections de fond à un ancrage universitaire de l’INDH :</vt:lpstr>
      <vt:lpstr>Article 3 Tâches</vt:lpstr>
      <vt:lpstr>Art.3, Tâches</vt:lpstr>
      <vt:lpstr>Article 5: Représentation pluraliste des forces sociales concernées</vt:lpstr>
      <vt:lpstr>Article 8: Indépendance</vt:lpstr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Sutter</dc:creator>
  <cp:lastModifiedBy>Amélie</cp:lastModifiedBy>
  <cp:revision>3</cp:revision>
  <dcterms:created xsi:type="dcterms:W3CDTF">2017-07-11T09:08:00Z</dcterms:created>
  <dcterms:modified xsi:type="dcterms:W3CDTF">2017-07-11T09:31:00Z</dcterms:modified>
</cp:coreProperties>
</file>